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华文楷体" w:hAnsi="华文楷体" w:eastAsia="华文楷体"/>
          <w:b/>
          <w:sz w:val="44"/>
          <w:szCs w:val="44"/>
        </w:rPr>
      </w:pPr>
      <w:bookmarkStart w:id="0" w:name="_GoBack"/>
      <w:bookmarkEnd w:id="0"/>
      <w:r>
        <w:rPr>
          <w:rFonts w:hint="eastAsia" w:ascii="华文楷体" w:hAnsi="华文楷体" w:eastAsia="华文楷体"/>
          <w:b/>
          <w:sz w:val="44"/>
          <w:szCs w:val="44"/>
        </w:rPr>
        <w:t>云南省总工会第七期安康保险计划</w:t>
      </w:r>
    </w:p>
    <w:p>
      <w:pPr>
        <w:autoSpaceDE w:val="0"/>
        <w:autoSpaceDN w:val="0"/>
        <w:adjustRightInd w:val="0"/>
        <w:spacing w:line="360" w:lineRule="auto"/>
        <w:ind w:firstLine="628" w:firstLineChars="196"/>
        <w:rPr>
          <w:rFonts w:ascii="华文楷体" w:hAnsi="华文楷体" w:eastAsia="华文楷体"/>
          <w:b/>
          <w:sz w:val="32"/>
          <w:szCs w:val="32"/>
        </w:rPr>
      </w:pPr>
      <w:r>
        <w:rPr>
          <w:rFonts w:hint="eastAsia" w:ascii="华文楷体" w:hAnsi="华文楷体" w:eastAsia="华文楷体"/>
          <w:b/>
          <w:sz w:val="32"/>
          <w:szCs w:val="32"/>
        </w:rPr>
        <w:t>第一条   总则</w:t>
      </w:r>
    </w:p>
    <w:p>
      <w:pPr>
        <w:autoSpaceDE w:val="0"/>
        <w:autoSpaceDN w:val="0"/>
        <w:adjustRightInd w:val="0"/>
        <w:spacing w:line="360" w:lineRule="auto"/>
        <w:ind w:firstLine="630"/>
        <w:rPr>
          <w:rFonts w:ascii="华文楷体" w:hAnsi="华文楷体" w:eastAsia="华文楷体"/>
          <w:sz w:val="32"/>
          <w:szCs w:val="32"/>
        </w:rPr>
      </w:pPr>
      <w:r>
        <w:rPr>
          <w:rFonts w:hint="eastAsia" w:ascii="华文楷体" w:hAnsi="华文楷体" w:eastAsia="华文楷体"/>
          <w:sz w:val="32"/>
          <w:szCs w:val="32"/>
        </w:rPr>
        <w:t>一、省总工会安康保险计划（简称：“本计划”），是根据保险公司平安重大疾病保险条款(P0620)和女性安康团体重大疾病保险条款（P0621）拟定。</w:t>
      </w:r>
    </w:p>
    <w:p>
      <w:pPr>
        <w:autoSpaceDE w:val="0"/>
        <w:autoSpaceDN w:val="0"/>
        <w:adjustRightInd w:val="0"/>
        <w:spacing w:line="360" w:lineRule="auto"/>
        <w:ind w:firstLine="630"/>
        <w:rPr>
          <w:rFonts w:ascii="华文楷体" w:hAnsi="华文楷体" w:eastAsia="华文楷体"/>
          <w:sz w:val="32"/>
          <w:szCs w:val="32"/>
        </w:rPr>
      </w:pPr>
      <w:r>
        <w:rPr>
          <w:rFonts w:hint="eastAsia" w:ascii="华文楷体" w:hAnsi="华文楷体" w:eastAsia="华文楷体"/>
          <w:sz w:val="32"/>
          <w:szCs w:val="32"/>
        </w:rPr>
        <w:t>二、本计划以保险公司平安重大疾病保险条款（P0620）和女性安康团体重大疾病保险条款（P0621）拟定规定为准，如双方在执行中出现新情况，可另行协商以补充协议形式解决。</w:t>
      </w:r>
    </w:p>
    <w:p>
      <w:pPr>
        <w:autoSpaceDE w:val="0"/>
        <w:autoSpaceDN w:val="0"/>
        <w:adjustRightInd w:val="0"/>
        <w:spacing w:line="360" w:lineRule="auto"/>
        <w:ind w:firstLine="630"/>
        <w:rPr>
          <w:rFonts w:ascii="华文楷体" w:hAnsi="华文楷体" w:eastAsia="华文楷体"/>
          <w:sz w:val="32"/>
          <w:szCs w:val="32"/>
        </w:rPr>
      </w:pPr>
      <w:r>
        <w:rPr>
          <w:rFonts w:hint="eastAsia" w:ascii="华文楷体" w:hAnsi="华文楷体" w:eastAsia="华文楷体"/>
          <w:sz w:val="32"/>
          <w:szCs w:val="32"/>
        </w:rPr>
        <w:t>三、省总工会及下属单位作为团体参保人，由各家基层单位工会对每一参保人员进行统一登记造册。</w:t>
      </w:r>
    </w:p>
    <w:p>
      <w:pPr>
        <w:autoSpaceDE w:val="0"/>
        <w:autoSpaceDN w:val="0"/>
        <w:adjustRightInd w:val="0"/>
        <w:spacing w:line="360" w:lineRule="auto"/>
        <w:ind w:firstLine="641" w:firstLineChars="200"/>
        <w:rPr>
          <w:rFonts w:ascii="华文楷体" w:hAnsi="华文楷体" w:eastAsia="华文楷体"/>
          <w:b/>
          <w:sz w:val="32"/>
          <w:szCs w:val="32"/>
        </w:rPr>
      </w:pPr>
    </w:p>
    <w:p>
      <w:pPr>
        <w:autoSpaceDE w:val="0"/>
        <w:autoSpaceDN w:val="0"/>
        <w:adjustRightInd w:val="0"/>
        <w:spacing w:line="360" w:lineRule="auto"/>
        <w:ind w:firstLine="641" w:firstLineChars="200"/>
        <w:rPr>
          <w:rFonts w:ascii="华文楷体" w:hAnsi="华文楷体" w:eastAsia="华文楷体"/>
          <w:b/>
          <w:sz w:val="32"/>
          <w:szCs w:val="32"/>
        </w:rPr>
      </w:pPr>
      <w:r>
        <w:rPr>
          <w:rFonts w:hint="eastAsia" w:ascii="华文楷体" w:hAnsi="华文楷体" w:eastAsia="华文楷体"/>
          <w:b/>
          <w:sz w:val="32"/>
          <w:szCs w:val="32"/>
        </w:rPr>
        <w:t>第二条   参保范围</w:t>
      </w:r>
    </w:p>
    <w:p>
      <w:pPr>
        <w:pStyle w:val="17"/>
        <w:spacing w:line="360" w:lineRule="auto"/>
        <w:ind w:firstLine="640" w:firstLineChars="200"/>
        <w:rPr>
          <w:rFonts w:ascii="华文楷体" w:hAnsi="华文楷体" w:eastAsia="华文楷体"/>
          <w:sz w:val="32"/>
          <w:szCs w:val="32"/>
        </w:rPr>
      </w:pPr>
      <w:r>
        <w:rPr>
          <w:rFonts w:ascii="华文楷体" w:hAnsi="华文楷体" w:eastAsia="华文楷体"/>
          <w:sz w:val="32"/>
          <w:szCs w:val="32"/>
        </w:rPr>
        <w:t>凡省总及其所属单位女职工和男职工，以及男职工配偶和女职工配偶，身体健康，年龄在十六周岁至七十周岁(六十三至七十周岁的缴费，请详见“第六条”)的，均可自愿参加本保险。</w:t>
      </w:r>
    </w:p>
    <w:p>
      <w:pPr>
        <w:autoSpaceDE w:val="0"/>
        <w:autoSpaceDN w:val="0"/>
        <w:adjustRightInd w:val="0"/>
        <w:spacing w:line="360" w:lineRule="auto"/>
        <w:ind w:firstLine="640" w:firstLineChars="200"/>
        <w:rPr>
          <w:rFonts w:ascii="华文楷体" w:hAnsi="华文楷体" w:eastAsia="华文楷体"/>
          <w:sz w:val="32"/>
          <w:szCs w:val="32"/>
        </w:rPr>
      </w:pPr>
    </w:p>
    <w:p>
      <w:pPr>
        <w:autoSpaceDE w:val="0"/>
        <w:autoSpaceDN w:val="0"/>
        <w:adjustRightInd w:val="0"/>
        <w:spacing w:line="360" w:lineRule="auto"/>
        <w:ind w:firstLine="641" w:firstLineChars="200"/>
        <w:rPr>
          <w:rFonts w:ascii="华文楷体" w:hAnsi="华文楷体" w:eastAsia="华文楷体"/>
          <w:b/>
          <w:sz w:val="32"/>
          <w:szCs w:val="32"/>
        </w:rPr>
      </w:pPr>
      <w:r>
        <w:rPr>
          <w:rFonts w:hint="eastAsia" w:ascii="华文楷体" w:hAnsi="华文楷体" w:eastAsia="华文楷体"/>
          <w:b/>
          <w:bCs/>
          <w:snapToGrid w:val="0"/>
          <w:kern w:val="0"/>
          <w:sz w:val="32"/>
          <w:szCs w:val="32"/>
        </w:rPr>
        <w:t xml:space="preserve">第三条 </w:t>
      </w:r>
      <w:r>
        <w:rPr>
          <w:rFonts w:hint="eastAsia" w:ascii="华文楷体" w:hAnsi="华文楷体" w:eastAsia="华文楷体"/>
          <w:b/>
          <w:bCs/>
          <w:snapToGrid w:val="0"/>
          <w:color w:val="FF0000"/>
          <w:kern w:val="0"/>
          <w:sz w:val="32"/>
          <w:szCs w:val="32"/>
        </w:rPr>
        <w:t xml:space="preserve">  </w:t>
      </w:r>
      <w:r>
        <w:rPr>
          <w:rFonts w:hint="eastAsia" w:ascii="华文楷体" w:hAnsi="华文楷体" w:eastAsia="华文楷体"/>
          <w:b/>
          <w:sz w:val="32"/>
          <w:szCs w:val="32"/>
        </w:rPr>
        <w:t xml:space="preserve">保险责任 </w:t>
      </w:r>
    </w:p>
    <w:p>
      <w:pPr>
        <w:snapToGrid w:val="0"/>
        <w:spacing w:line="360" w:lineRule="auto"/>
        <w:ind w:left="420" w:leftChars="200" w:firstLine="640" w:firstLineChars="200"/>
        <w:rPr>
          <w:rFonts w:ascii="华文楷体" w:hAnsi="华文楷体" w:eastAsia="华文楷体"/>
          <w:snapToGrid w:val="0"/>
          <w:kern w:val="0"/>
          <w:sz w:val="32"/>
          <w:szCs w:val="32"/>
        </w:rPr>
      </w:pPr>
      <w:r>
        <w:rPr>
          <w:rFonts w:hint="eastAsia" w:ascii="华文楷体" w:hAnsi="华文楷体" w:eastAsia="华文楷体"/>
          <w:snapToGrid w:val="0"/>
          <w:kern w:val="0"/>
          <w:sz w:val="32"/>
          <w:szCs w:val="32"/>
        </w:rPr>
        <w:t>在本保险有效期内，除等待期期间外，保险人承担下列保险责任：</w:t>
      </w:r>
    </w:p>
    <w:p>
      <w:pPr>
        <w:numPr>
          <w:ilvl w:val="0"/>
          <w:numId w:val="2"/>
        </w:numPr>
        <w:snapToGrid w:val="0"/>
        <w:spacing w:line="360" w:lineRule="auto"/>
        <w:ind w:left="1276" w:hanging="778"/>
        <w:rPr>
          <w:rFonts w:ascii="华文楷体" w:hAnsi="华文楷体" w:eastAsia="华文楷体"/>
          <w:snapToGrid w:val="0"/>
          <w:kern w:val="0"/>
          <w:sz w:val="32"/>
          <w:szCs w:val="32"/>
        </w:rPr>
      </w:pPr>
      <w:r>
        <w:rPr>
          <w:rFonts w:hint="eastAsia" w:ascii="华文楷体" w:hAnsi="华文楷体" w:eastAsia="华文楷体"/>
          <w:snapToGrid w:val="0"/>
          <w:kern w:val="0"/>
          <w:sz w:val="32"/>
          <w:szCs w:val="32"/>
        </w:rPr>
        <w:t>女职工经诊断初次患原位癌、原发性妇科癌即：原发性的乳腺癌、子宫癌、子宫颈癌、卵巢癌、输卵管癌、阴道癌、甲状腺癌及其它癌症。</w:t>
      </w:r>
    </w:p>
    <w:p>
      <w:pPr>
        <w:numPr>
          <w:ilvl w:val="0"/>
          <w:numId w:val="2"/>
        </w:numPr>
        <w:snapToGrid w:val="0"/>
        <w:spacing w:line="360" w:lineRule="auto"/>
        <w:ind w:left="1276" w:hanging="778"/>
        <w:rPr>
          <w:rFonts w:ascii="华文楷体" w:hAnsi="华文楷体" w:eastAsia="华文楷体"/>
          <w:snapToGrid w:val="0"/>
          <w:kern w:val="0"/>
          <w:sz w:val="32"/>
          <w:szCs w:val="32"/>
        </w:rPr>
      </w:pPr>
      <w:r>
        <w:rPr>
          <w:rFonts w:hint="eastAsia" w:ascii="华文楷体" w:hAnsi="华文楷体" w:eastAsia="华文楷体"/>
          <w:snapToGrid w:val="0"/>
          <w:kern w:val="0"/>
          <w:sz w:val="32"/>
          <w:szCs w:val="32"/>
        </w:rPr>
        <w:t>男职工经诊断初次患原位癌、原发性男科癌即：</w:t>
      </w:r>
      <w:r>
        <w:rPr>
          <w:rFonts w:ascii="华文楷体" w:hAnsi="华文楷体" w:eastAsia="华文楷体"/>
          <w:snapToGrid w:val="0"/>
          <w:kern w:val="0"/>
          <w:sz w:val="32"/>
          <w:szCs w:val="32"/>
        </w:rPr>
        <w:t>原发性前列腺癌、原发性阴茎癌、原发性睾丸癌</w:t>
      </w:r>
      <w:r>
        <w:rPr>
          <w:rFonts w:hint="eastAsia" w:ascii="华文楷体" w:hAnsi="华文楷体" w:eastAsia="华文楷体"/>
          <w:snapToGrid w:val="0"/>
          <w:kern w:val="0"/>
          <w:sz w:val="32"/>
          <w:szCs w:val="32"/>
        </w:rPr>
        <w:t>、甲状腺癌及其它癌症。</w:t>
      </w:r>
    </w:p>
    <w:p>
      <w:pPr>
        <w:autoSpaceDE w:val="0"/>
        <w:autoSpaceDN w:val="0"/>
        <w:adjustRightInd w:val="0"/>
        <w:spacing w:line="360" w:lineRule="auto"/>
        <w:ind w:firstLine="628" w:firstLineChars="196"/>
        <w:rPr>
          <w:rFonts w:ascii="华文楷体" w:hAnsi="华文楷体" w:eastAsia="华文楷体"/>
          <w:b/>
          <w:sz w:val="32"/>
          <w:szCs w:val="32"/>
        </w:rPr>
      </w:pPr>
    </w:p>
    <w:p>
      <w:pPr>
        <w:autoSpaceDE w:val="0"/>
        <w:autoSpaceDN w:val="0"/>
        <w:adjustRightInd w:val="0"/>
        <w:spacing w:line="360" w:lineRule="auto"/>
        <w:ind w:firstLine="628" w:firstLineChars="196"/>
        <w:rPr>
          <w:rFonts w:ascii="华文楷体" w:hAnsi="华文楷体" w:eastAsia="华文楷体"/>
          <w:b/>
          <w:sz w:val="32"/>
          <w:szCs w:val="32"/>
        </w:rPr>
      </w:pPr>
      <w:r>
        <w:rPr>
          <w:rFonts w:hint="eastAsia" w:ascii="华文楷体" w:hAnsi="华文楷体" w:eastAsia="华文楷体"/>
          <w:b/>
          <w:sz w:val="32"/>
          <w:szCs w:val="32"/>
        </w:rPr>
        <w:t>第四条   责任免除</w:t>
      </w:r>
    </w:p>
    <w:p>
      <w:pPr>
        <w:autoSpaceDE w:val="0"/>
        <w:autoSpaceDN w:val="0"/>
        <w:adjustRightInd w:val="0"/>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恶性肿瘤是指不受控制的进行性增长和扩散、浸润和破坏周围正常组织，可以经血管、淋巴管和体腔扩散转移到身体其它部位的疾病。经病理学检查结果明确诊断，临床诊断属于世界卫生组织《疾病和有关健康问题国际统计分类（ICD-10）的恶性肿瘤范畴。下列疾病不在保障范围内：</w:t>
      </w:r>
    </w:p>
    <w:p>
      <w:pPr>
        <w:autoSpaceDE w:val="0"/>
        <w:autoSpaceDN w:val="0"/>
        <w:adjustRightInd w:val="0"/>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一、相当于Binet分期方案A期程度的慢性淋巴细胞白血病；</w:t>
      </w:r>
    </w:p>
    <w:p>
      <w:pPr>
        <w:autoSpaceDE w:val="0"/>
        <w:autoSpaceDN w:val="0"/>
        <w:adjustRightInd w:val="0"/>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二、相当于AnnArbor分期方案I期程度的何杰金氏病；</w:t>
      </w:r>
    </w:p>
    <w:p>
      <w:pPr>
        <w:autoSpaceDE w:val="0"/>
        <w:autoSpaceDN w:val="0"/>
        <w:adjustRightInd w:val="0"/>
        <w:spacing w:line="360" w:lineRule="auto"/>
        <w:ind w:firstLine="640" w:firstLineChars="200"/>
        <w:rPr>
          <w:rFonts w:ascii="华文楷体" w:hAnsi="华文楷体" w:eastAsia="华文楷体"/>
          <w:color w:val="000000"/>
          <w:sz w:val="32"/>
          <w:szCs w:val="32"/>
        </w:rPr>
      </w:pPr>
      <w:r>
        <w:rPr>
          <w:rFonts w:hint="eastAsia" w:ascii="华文楷体" w:hAnsi="华文楷体" w:eastAsia="华文楷体"/>
          <w:color w:val="000000"/>
          <w:sz w:val="32"/>
          <w:szCs w:val="32"/>
        </w:rPr>
        <w:t>三、皮肤癌（不包括恶性黑色素瘤及已发生转移的皮肤癌）；</w:t>
      </w:r>
    </w:p>
    <w:p>
      <w:pPr>
        <w:autoSpaceDE w:val="0"/>
        <w:autoSpaceDN w:val="0"/>
        <w:adjustRightInd w:val="0"/>
        <w:spacing w:line="360" w:lineRule="auto"/>
        <w:ind w:firstLine="640" w:firstLineChars="200"/>
        <w:rPr>
          <w:rFonts w:ascii="华文楷体" w:hAnsi="华文楷体" w:eastAsia="华文楷体"/>
          <w:color w:val="000000"/>
          <w:sz w:val="32"/>
          <w:szCs w:val="32"/>
        </w:rPr>
      </w:pPr>
      <w:r>
        <w:rPr>
          <w:rFonts w:hint="eastAsia" w:ascii="华文楷体" w:hAnsi="华文楷体" w:eastAsia="华文楷体"/>
          <w:color w:val="000000"/>
          <w:sz w:val="32"/>
          <w:szCs w:val="32"/>
        </w:rPr>
        <w:t>四、TNM分期为T1N0M0或更轻分期的前列腺癌。</w:t>
      </w:r>
    </w:p>
    <w:p>
      <w:pPr>
        <w:autoSpaceDE w:val="0"/>
        <w:autoSpaceDN w:val="0"/>
        <w:adjustRightInd w:val="0"/>
        <w:spacing w:line="360" w:lineRule="auto"/>
        <w:ind w:firstLine="628" w:firstLineChars="196"/>
        <w:rPr>
          <w:rFonts w:ascii="华文楷体" w:hAnsi="华文楷体" w:eastAsia="华文楷体"/>
          <w:b/>
          <w:sz w:val="32"/>
          <w:szCs w:val="32"/>
        </w:rPr>
      </w:pPr>
    </w:p>
    <w:p>
      <w:pPr>
        <w:autoSpaceDE w:val="0"/>
        <w:autoSpaceDN w:val="0"/>
        <w:adjustRightInd w:val="0"/>
        <w:spacing w:line="360" w:lineRule="auto"/>
        <w:ind w:firstLine="628" w:firstLineChars="196"/>
        <w:rPr>
          <w:rFonts w:ascii="华文楷体" w:hAnsi="华文楷体" w:eastAsia="华文楷体"/>
          <w:b/>
          <w:sz w:val="32"/>
          <w:szCs w:val="32"/>
        </w:rPr>
      </w:pPr>
      <w:r>
        <w:rPr>
          <w:rFonts w:hint="eastAsia" w:ascii="华文楷体" w:hAnsi="华文楷体" w:eastAsia="华文楷体"/>
          <w:b/>
          <w:sz w:val="32"/>
          <w:szCs w:val="32"/>
        </w:rPr>
        <w:t>第五条   保险期间</w:t>
      </w:r>
    </w:p>
    <w:p>
      <w:pPr>
        <w:pStyle w:val="11"/>
        <w:spacing w:line="48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一、保险周期为两年，即一次投保二年，二年保险费一次趸缴，连续计算二个保险周期，且投保手续于第一年一次办清。</w:t>
      </w:r>
    </w:p>
    <w:p>
      <w:pPr>
        <w:pStyle w:val="11"/>
        <w:spacing w:line="48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二、保险责任生效时间从保险公司同意承保并收取保费，签发保险单的次日零时开始。</w:t>
      </w:r>
    </w:p>
    <w:p>
      <w:pPr>
        <w:pStyle w:val="11"/>
        <w:spacing w:line="48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三、初次参保的，保单生效之日起30日内为观察期，观察期内参保人初患原发性癌症，保险公司无息返还该参保人所交全部保费，保险责任终止。患癌症的出险时间以病理检查报告的时间为准。</w:t>
      </w:r>
    </w:p>
    <w:p>
      <w:pPr>
        <w:autoSpaceDE w:val="0"/>
        <w:autoSpaceDN w:val="0"/>
        <w:adjustRightInd w:val="0"/>
        <w:spacing w:line="360" w:lineRule="auto"/>
        <w:ind w:firstLine="628" w:firstLineChars="196"/>
        <w:rPr>
          <w:rFonts w:ascii="华文楷体" w:hAnsi="华文楷体" w:eastAsia="华文楷体"/>
          <w:b/>
          <w:sz w:val="32"/>
          <w:szCs w:val="32"/>
        </w:rPr>
      </w:pPr>
    </w:p>
    <w:p>
      <w:pPr>
        <w:autoSpaceDE w:val="0"/>
        <w:autoSpaceDN w:val="0"/>
        <w:adjustRightInd w:val="0"/>
        <w:spacing w:line="360" w:lineRule="auto"/>
        <w:ind w:firstLine="567" w:firstLineChars="177"/>
        <w:rPr>
          <w:rFonts w:ascii="华文楷体" w:hAnsi="华文楷体" w:eastAsia="华文楷体"/>
          <w:b/>
          <w:sz w:val="32"/>
          <w:szCs w:val="32"/>
        </w:rPr>
      </w:pPr>
      <w:r>
        <w:rPr>
          <w:rFonts w:hint="eastAsia" w:ascii="华文楷体" w:hAnsi="华文楷体" w:eastAsia="华文楷体"/>
          <w:b/>
          <w:sz w:val="32"/>
          <w:szCs w:val="32"/>
        </w:rPr>
        <w:t>第六条   保障内容和保险费</w:t>
      </w:r>
    </w:p>
    <w:p>
      <w:pPr>
        <w:pStyle w:val="29"/>
        <w:numPr>
          <w:ilvl w:val="0"/>
          <w:numId w:val="3"/>
        </w:numPr>
        <w:ind w:firstLineChars="0"/>
        <w:rPr>
          <w:rFonts w:ascii="华文楷体" w:hAnsi="华文楷体" w:eastAsia="华文楷体"/>
          <w:b/>
          <w:sz w:val="28"/>
          <w:szCs w:val="32"/>
        </w:rPr>
      </w:pPr>
      <w:r>
        <w:rPr>
          <w:rFonts w:hint="eastAsia" w:ascii="华文楷体" w:hAnsi="华文楷体" w:eastAsia="华文楷体"/>
          <w:b/>
          <w:sz w:val="28"/>
          <w:szCs w:val="32"/>
        </w:rPr>
        <w:t>标准C款方案</w:t>
      </w:r>
    </w:p>
    <w:tbl>
      <w:tblPr>
        <w:tblStyle w:val="24"/>
        <w:tblW w:w="8789" w:type="dxa"/>
        <w:tblInd w:w="229" w:type="dxa"/>
        <w:tblLayout w:type="fixed"/>
        <w:tblCellMar>
          <w:top w:w="0" w:type="dxa"/>
          <w:left w:w="0" w:type="dxa"/>
          <w:bottom w:w="0" w:type="dxa"/>
          <w:right w:w="0" w:type="dxa"/>
        </w:tblCellMar>
      </w:tblPr>
      <w:tblGrid>
        <w:gridCol w:w="4111"/>
        <w:gridCol w:w="1418"/>
        <w:gridCol w:w="1842"/>
        <w:gridCol w:w="1418"/>
      </w:tblGrid>
      <w:tr>
        <w:tblPrEx>
          <w:tblLayout w:type="fixed"/>
          <w:tblCellMar>
            <w:top w:w="0" w:type="dxa"/>
            <w:left w:w="0" w:type="dxa"/>
            <w:bottom w:w="0" w:type="dxa"/>
            <w:right w:w="0" w:type="dxa"/>
          </w:tblCellMar>
        </w:tblPrEx>
        <w:trPr>
          <w:trHeight w:val="324" w:hRule="atLeast"/>
        </w:trPr>
        <w:tc>
          <w:tcPr>
            <w:tcW w:w="411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
                <w:bCs/>
                <w:sz w:val="28"/>
                <w:szCs w:val="21"/>
              </w:rPr>
            </w:pPr>
            <w:r>
              <w:rPr>
                <w:rFonts w:hint="eastAsia" w:ascii="华文楷体" w:hAnsi="华文楷体" w:eastAsia="华文楷体"/>
                <w:b/>
                <w:sz w:val="28"/>
                <w:szCs w:val="21"/>
              </w:rPr>
              <w:t>保障项目</w:t>
            </w:r>
          </w:p>
        </w:tc>
        <w:tc>
          <w:tcPr>
            <w:tcW w:w="14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
                <w:bCs/>
                <w:sz w:val="28"/>
                <w:szCs w:val="21"/>
              </w:rPr>
            </w:pPr>
            <w:r>
              <w:rPr>
                <w:rFonts w:hint="eastAsia" w:ascii="华文楷体" w:hAnsi="华文楷体" w:eastAsia="华文楷体"/>
                <w:b/>
                <w:bCs/>
                <w:sz w:val="28"/>
              </w:rPr>
              <w:t>保险金额</w:t>
            </w:r>
          </w:p>
        </w:tc>
        <w:tc>
          <w:tcPr>
            <w:tcW w:w="184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
                <w:bCs/>
                <w:sz w:val="28"/>
                <w:szCs w:val="21"/>
              </w:rPr>
            </w:pPr>
            <w:r>
              <w:rPr>
                <w:rFonts w:hint="eastAsia" w:ascii="华文楷体" w:hAnsi="华文楷体" w:eastAsia="华文楷体"/>
                <w:b/>
                <w:sz w:val="28"/>
              </w:rPr>
              <w:t>保费</w:t>
            </w:r>
          </w:p>
        </w:tc>
        <w:tc>
          <w:tcPr>
            <w:tcW w:w="1418" w:type="dxa"/>
            <w:tcBorders>
              <w:top w:val="single" w:color="auto" w:sz="4" w:space="0"/>
              <w:bottom w:val="single" w:color="auto" w:sz="4" w:space="0"/>
              <w:right w:val="single" w:color="auto" w:sz="4" w:space="0"/>
            </w:tcBorders>
            <w:shd w:val="clear" w:color="auto" w:fill="auto"/>
          </w:tcPr>
          <w:p>
            <w:pPr>
              <w:widowControl/>
              <w:snapToGrid w:val="0"/>
              <w:jc w:val="center"/>
              <w:rPr>
                <w:rFonts w:ascii="华文楷体" w:hAnsi="华文楷体" w:eastAsia="华文楷体"/>
                <w:b/>
                <w:sz w:val="28"/>
                <w:szCs w:val="20"/>
              </w:rPr>
            </w:pPr>
            <w:r>
              <w:rPr>
                <w:rFonts w:hint="eastAsia" w:ascii="华文楷体" w:hAnsi="华文楷体" w:eastAsia="华文楷体"/>
                <w:b/>
                <w:sz w:val="28"/>
              </w:rPr>
              <w:t>备注</w:t>
            </w:r>
          </w:p>
        </w:tc>
      </w:tr>
      <w:tr>
        <w:tblPrEx>
          <w:tblLayout w:type="fixed"/>
          <w:tblCellMar>
            <w:top w:w="0" w:type="dxa"/>
            <w:left w:w="0" w:type="dxa"/>
            <w:bottom w:w="0" w:type="dxa"/>
            <w:right w:w="0" w:type="dxa"/>
          </w:tblCellMar>
        </w:tblPrEx>
        <w:trPr>
          <w:cantSplit/>
          <w:trHeight w:val="354" w:hRule="atLeast"/>
        </w:trPr>
        <w:tc>
          <w:tcPr>
            <w:tcW w:w="41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Cs/>
                <w:sz w:val="24"/>
                <w:szCs w:val="21"/>
              </w:rPr>
            </w:pPr>
            <w:r>
              <w:rPr>
                <w:rFonts w:ascii="华文楷体" w:hAnsi="华文楷体" w:eastAsia="华文楷体"/>
                <w:sz w:val="24"/>
                <w:szCs w:val="21"/>
              </w:rPr>
              <w:t>平安安康</w:t>
            </w:r>
            <w:r>
              <w:rPr>
                <w:rFonts w:hint="eastAsia" w:ascii="华文楷体" w:hAnsi="华文楷体" w:eastAsia="华文楷体"/>
                <w:sz w:val="24"/>
                <w:szCs w:val="21"/>
              </w:rPr>
              <w:t>恶性肿瘤</w:t>
            </w:r>
            <w:r>
              <w:rPr>
                <w:rFonts w:ascii="华文楷体" w:hAnsi="华文楷体" w:eastAsia="华文楷体"/>
                <w:sz w:val="24"/>
                <w:szCs w:val="21"/>
              </w:rPr>
              <w:t>疾病保险</w:t>
            </w:r>
          </w:p>
        </w:tc>
        <w:tc>
          <w:tcPr>
            <w:tcW w:w="1418" w:type="dxa"/>
            <w:tcBorders>
              <w:top w:val="nil"/>
              <w:left w:val="nil"/>
              <w:bottom w:val="single" w:color="auto" w:sz="4"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Cs/>
                <w:sz w:val="28"/>
                <w:szCs w:val="21"/>
              </w:rPr>
            </w:pPr>
            <w:r>
              <w:rPr>
                <w:rFonts w:hint="eastAsia" w:ascii="华文楷体" w:hAnsi="华文楷体" w:eastAsia="华文楷体"/>
                <w:bCs/>
                <w:sz w:val="28"/>
              </w:rPr>
              <w:t>2万元</w:t>
            </w:r>
          </w:p>
        </w:tc>
        <w:tc>
          <w:tcPr>
            <w:tcW w:w="1842" w:type="dxa"/>
            <w:vMerge w:val="restart"/>
            <w:tcBorders>
              <w:top w:val="single" w:color="auto" w:sz="4" w:space="0"/>
              <w:right w:val="single" w:color="auto" w:sz="4" w:space="0"/>
            </w:tcBorders>
            <w:shd w:val="clear" w:color="auto" w:fill="auto"/>
            <w:vAlign w:val="center"/>
          </w:tcPr>
          <w:p>
            <w:pPr>
              <w:widowControl/>
              <w:snapToGrid w:val="0"/>
              <w:jc w:val="center"/>
              <w:rPr>
                <w:rFonts w:ascii="华文楷体" w:hAnsi="华文楷体" w:eastAsia="华文楷体"/>
                <w:sz w:val="28"/>
                <w:szCs w:val="20"/>
              </w:rPr>
            </w:pPr>
            <w:r>
              <w:rPr>
                <w:rFonts w:hint="eastAsia" w:ascii="华文楷体" w:hAnsi="华文楷体" w:eastAsia="华文楷体"/>
                <w:sz w:val="28"/>
              </w:rPr>
              <w:t>50元/份/年</w:t>
            </w:r>
          </w:p>
        </w:tc>
        <w:tc>
          <w:tcPr>
            <w:tcW w:w="1418" w:type="dxa"/>
            <w:vMerge w:val="restart"/>
            <w:tcBorders>
              <w:top w:val="single" w:color="auto" w:sz="4" w:space="0"/>
              <w:right w:val="single" w:color="auto" w:sz="4" w:space="0"/>
            </w:tcBorders>
            <w:shd w:val="clear" w:color="auto" w:fill="auto"/>
            <w:vAlign w:val="center"/>
          </w:tcPr>
          <w:p>
            <w:pPr>
              <w:widowControl/>
              <w:snapToGrid w:val="0"/>
              <w:jc w:val="center"/>
              <w:rPr>
                <w:rFonts w:ascii="华文楷体" w:hAnsi="华文楷体" w:eastAsia="华文楷体"/>
                <w:sz w:val="28"/>
              </w:rPr>
            </w:pPr>
            <w:r>
              <w:rPr>
                <w:rFonts w:hint="eastAsia" w:ascii="华文楷体" w:hAnsi="华文楷体" w:eastAsia="华文楷体"/>
                <w:sz w:val="28"/>
              </w:rPr>
              <w:t>每人限购</w:t>
            </w:r>
          </w:p>
          <w:p>
            <w:pPr>
              <w:widowControl/>
              <w:snapToGrid w:val="0"/>
              <w:jc w:val="center"/>
              <w:rPr>
                <w:rFonts w:ascii="华文楷体" w:hAnsi="华文楷体" w:eastAsia="华文楷体"/>
                <w:sz w:val="28"/>
                <w:szCs w:val="20"/>
              </w:rPr>
            </w:pPr>
            <w:r>
              <w:rPr>
                <w:rFonts w:hint="eastAsia" w:ascii="华文楷体" w:hAnsi="华文楷体" w:eastAsia="华文楷体"/>
                <w:sz w:val="28"/>
              </w:rPr>
              <w:t>二份</w:t>
            </w:r>
          </w:p>
        </w:tc>
      </w:tr>
      <w:tr>
        <w:tblPrEx>
          <w:tblLayout w:type="fixed"/>
          <w:tblCellMar>
            <w:top w:w="0" w:type="dxa"/>
            <w:left w:w="0" w:type="dxa"/>
            <w:bottom w:w="0" w:type="dxa"/>
            <w:right w:w="0" w:type="dxa"/>
          </w:tblCellMar>
        </w:tblPrEx>
        <w:trPr>
          <w:cantSplit/>
          <w:trHeight w:val="92" w:hRule="atLeast"/>
        </w:trPr>
        <w:tc>
          <w:tcPr>
            <w:tcW w:w="41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sz w:val="24"/>
                <w:szCs w:val="21"/>
              </w:rPr>
            </w:pPr>
            <w:r>
              <w:rPr>
                <w:rFonts w:hint="eastAsia" w:ascii="华文楷体" w:hAnsi="华文楷体" w:eastAsia="华文楷体"/>
                <w:sz w:val="24"/>
                <w:szCs w:val="21"/>
              </w:rPr>
              <w:t>平安</w:t>
            </w:r>
            <w:r>
              <w:rPr>
                <w:rFonts w:ascii="华文楷体" w:hAnsi="华文楷体" w:eastAsia="华文楷体"/>
                <w:sz w:val="24"/>
                <w:szCs w:val="21"/>
              </w:rPr>
              <w:t>安康</w:t>
            </w:r>
            <w:r>
              <w:rPr>
                <w:rFonts w:hint="eastAsia" w:ascii="华文楷体" w:hAnsi="华文楷体" w:eastAsia="华文楷体"/>
                <w:sz w:val="24"/>
                <w:szCs w:val="21"/>
              </w:rPr>
              <w:t>甲状腺癌保险</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Cs/>
                <w:sz w:val="28"/>
                <w:szCs w:val="21"/>
              </w:rPr>
            </w:pPr>
            <w:r>
              <w:rPr>
                <w:rFonts w:hint="eastAsia" w:ascii="华文楷体" w:hAnsi="华文楷体" w:eastAsia="华文楷体"/>
                <w:bCs/>
                <w:sz w:val="28"/>
              </w:rPr>
              <w:t>1万元</w:t>
            </w:r>
          </w:p>
        </w:tc>
        <w:tc>
          <w:tcPr>
            <w:tcW w:w="1842" w:type="dxa"/>
            <w:vMerge w:val="continue"/>
            <w:tcBorders>
              <w:right w:val="single" w:color="auto" w:sz="4" w:space="0"/>
            </w:tcBorders>
            <w:shd w:val="clear" w:color="auto" w:fill="auto"/>
          </w:tcPr>
          <w:p>
            <w:pPr>
              <w:widowControl/>
              <w:snapToGrid w:val="0"/>
              <w:jc w:val="center"/>
              <w:rPr>
                <w:rFonts w:ascii="华文楷体" w:hAnsi="华文楷体" w:eastAsia="华文楷体"/>
                <w:sz w:val="22"/>
                <w:szCs w:val="20"/>
              </w:rPr>
            </w:pPr>
          </w:p>
        </w:tc>
        <w:tc>
          <w:tcPr>
            <w:tcW w:w="1418" w:type="dxa"/>
            <w:vMerge w:val="continue"/>
            <w:tcBorders>
              <w:right w:val="single" w:color="auto" w:sz="4" w:space="0"/>
            </w:tcBorders>
            <w:shd w:val="clear" w:color="auto" w:fill="auto"/>
          </w:tcPr>
          <w:p>
            <w:pPr>
              <w:widowControl/>
              <w:snapToGrid w:val="0"/>
              <w:jc w:val="center"/>
              <w:rPr>
                <w:rFonts w:ascii="华文楷体" w:hAnsi="华文楷体" w:eastAsia="华文楷体"/>
                <w:sz w:val="22"/>
                <w:szCs w:val="20"/>
              </w:rPr>
            </w:pPr>
          </w:p>
        </w:tc>
      </w:tr>
      <w:tr>
        <w:tblPrEx>
          <w:tblLayout w:type="fixed"/>
          <w:tblCellMar>
            <w:top w:w="0" w:type="dxa"/>
            <w:left w:w="0" w:type="dxa"/>
            <w:bottom w:w="0" w:type="dxa"/>
            <w:right w:w="0" w:type="dxa"/>
          </w:tblCellMar>
        </w:tblPrEx>
        <w:trPr>
          <w:cantSplit/>
          <w:trHeight w:val="54" w:hRule="atLeast"/>
        </w:trPr>
        <w:tc>
          <w:tcPr>
            <w:tcW w:w="41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Cs/>
                <w:sz w:val="24"/>
                <w:szCs w:val="21"/>
              </w:rPr>
            </w:pPr>
            <w:r>
              <w:rPr>
                <w:rFonts w:hint="eastAsia" w:ascii="华文楷体" w:hAnsi="华文楷体" w:eastAsia="华文楷体"/>
                <w:bCs/>
                <w:sz w:val="24"/>
              </w:rPr>
              <w:t>原位癌</w:t>
            </w:r>
            <w:r>
              <w:rPr>
                <w:rFonts w:hint="eastAsia" w:ascii="华文楷体" w:hAnsi="华文楷体" w:eastAsia="华文楷体"/>
                <w:b/>
                <w:bCs/>
                <w:sz w:val="24"/>
              </w:rPr>
              <w:t>（与以上两项不得累计赔付）</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Cs/>
                <w:sz w:val="28"/>
                <w:szCs w:val="21"/>
              </w:rPr>
            </w:pPr>
            <w:r>
              <w:rPr>
                <w:rFonts w:hint="eastAsia" w:ascii="华文楷体" w:hAnsi="华文楷体" w:eastAsia="华文楷体"/>
                <w:bCs/>
                <w:sz w:val="28"/>
              </w:rPr>
              <w:t>0.3万元</w:t>
            </w:r>
          </w:p>
        </w:tc>
        <w:tc>
          <w:tcPr>
            <w:tcW w:w="1842" w:type="dxa"/>
            <w:vMerge w:val="continue"/>
            <w:tcBorders>
              <w:bottom w:val="single" w:color="auto" w:sz="4" w:space="0"/>
              <w:right w:val="single" w:color="auto" w:sz="4" w:space="0"/>
            </w:tcBorders>
            <w:shd w:val="clear" w:color="auto" w:fill="auto"/>
          </w:tcPr>
          <w:p>
            <w:pPr>
              <w:widowControl/>
              <w:snapToGrid w:val="0"/>
              <w:jc w:val="center"/>
              <w:rPr>
                <w:rFonts w:ascii="华文楷体" w:hAnsi="华文楷体" w:eastAsia="华文楷体"/>
                <w:sz w:val="22"/>
                <w:szCs w:val="20"/>
              </w:rPr>
            </w:pPr>
          </w:p>
        </w:tc>
        <w:tc>
          <w:tcPr>
            <w:tcW w:w="1418" w:type="dxa"/>
            <w:vMerge w:val="continue"/>
            <w:tcBorders>
              <w:bottom w:val="single" w:color="auto" w:sz="4" w:space="0"/>
              <w:right w:val="single" w:color="auto" w:sz="4" w:space="0"/>
            </w:tcBorders>
            <w:shd w:val="clear" w:color="auto" w:fill="auto"/>
          </w:tcPr>
          <w:p>
            <w:pPr>
              <w:widowControl/>
              <w:snapToGrid w:val="0"/>
              <w:jc w:val="center"/>
              <w:rPr>
                <w:rFonts w:ascii="华文楷体" w:hAnsi="华文楷体" w:eastAsia="华文楷体"/>
                <w:sz w:val="22"/>
                <w:szCs w:val="20"/>
              </w:rPr>
            </w:pPr>
          </w:p>
        </w:tc>
      </w:tr>
    </w:tbl>
    <w:p>
      <w:pPr>
        <w:spacing w:line="480" w:lineRule="auto"/>
        <w:ind w:left="482" w:firstLine="367" w:firstLineChars="131"/>
        <w:rPr>
          <w:rFonts w:ascii="华文楷体" w:hAnsi="华文楷体" w:eastAsia="华文楷体"/>
          <w:b/>
          <w:sz w:val="28"/>
          <w:szCs w:val="32"/>
        </w:rPr>
      </w:pPr>
      <w:r>
        <w:rPr>
          <w:rFonts w:hint="eastAsia" w:ascii="华文楷体" w:hAnsi="华文楷体" w:eastAsia="华文楷体"/>
          <w:b/>
          <w:sz w:val="28"/>
          <w:szCs w:val="32"/>
        </w:rPr>
        <w:t>附加男性安康方案</w:t>
      </w:r>
    </w:p>
    <w:tbl>
      <w:tblPr>
        <w:tblStyle w:val="24"/>
        <w:tblW w:w="8789" w:type="dxa"/>
        <w:tblInd w:w="227" w:type="dxa"/>
        <w:tblLayout w:type="fixed"/>
        <w:tblCellMar>
          <w:top w:w="0" w:type="dxa"/>
          <w:left w:w="0" w:type="dxa"/>
          <w:bottom w:w="0" w:type="dxa"/>
          <w:right w:w="0" w:type="dxa"/>
        </w:tblCellMar>
      </w:tblPr>
      <w:tblGrid>
        <w:gridCol w:w="4111"/>
        <w:gridCol w:w="1418"/>
        <w:gridCol w:w="1842"/>
        <w:gridCol w:w="1418"/>
      </w:tblGrid>
      <w:tr>
        <w:tblPrEx>
          <w:tblLayout w:type="fixed"/>
          <w:tblCellMar>
            <w:top w:w="0" w:type="dxa"/>
            <w:left w:w="0" w:type="dxa"/>
            <w:bottom w:w="0" w:type="dxa"/>
            <w:right w:w="0" w:type="dxa"/>
          </w:tblCellMar>
        </w:tblPrEx>
        <w:trPr>
          <w:trHeight w:val="324" w:hRule="atLeast"/>
        </w:trPr>
        <w:tc>
          <w:tcPr>
            <w:tcW w:w="411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b/>
                <w:sz w:val="28"/>
                <w:szCs w:val="21"/>
              </w:rPr>
            </w:pPr>
            <w:r>
              <w:rPr>
                <w:rFonts w:hint="eastAsia" w:ascii="华文楷体" w:hAnsi="华文楷体" w:eastAsia="华文楷体"/>
                <w:b/>
                <w:sz w:val="28"/>
                <w:szCs w:val="21"/>
              </w:rPr>
              <w:t>保障项目</w:t>
            </w:r>
          </w:p>
        </w:tc>
        <w:tc>
          <w:tcPr>
            <w:tcW w:w="1418"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b/>
                <w:sz w:val="28"/>
                <w:szCs w:val="21"/>
              </w:rPr>
            </w:pPr>
            <w:r>
              <w:rPr>
                <w:rFonts w:hint="eastAsia" w:ascii="华文楷体" w:hAnsi="华文楷体" w:eastAsia="华文楷体"/>
                <w:b/>
                <w:sz w:val="28"/>
                <w:szCs w:val="21"/>
              </w:rPr>
              <w:t>保险金额</w:t>
            </w:r>
          </w:p>
        </w:tc>
        <w:tc>
          <w:tcPr>
            <w:tcW w:w="1842" w:type="dxa"/>
            <w:tcBorders>
              <w:top w:val="single" w:color="auto" w:sz="8" w:space="0"/>
              <w:left w:val="nil"/>
              <w:bottom w:val="single" w:color="auto" w:sz="4" w:space="0"/>
              <w:right w:val="single" w:color="auto" w:sz="8" w:space="0"/>
            </w:tcBorders>
            <w:vAlign w:val="center"/>
          </w:tcPr>
          <w:p>
            <w:pPr>
              <w:snapToGrid w:val="0"/>
              <w:jc w:val="center"/>
              <w:rPr>
                <w:rFonts w:ascii="华文楷体" w:hAnsi="华文楷体" w:eastAsia="华文楷体"/>
                <w:b/>
                <w:sz w:val="28"/>
                <w:szCs w:val="21"/>
              </w:rPr>
            </w:pPr>
            <w:r>
              <w:rPr>
                <w:rFonts w:hint="eastAsia" w:ascii="华文楷体" w:hAnsi="华文楷体" w:eastAsia="华文楷体"/>
                <w:b/>
                <w:sz w:val="28"/>
                <w:szCs w:val="21"/>
              </w:rPr>
              <w:t>保费</w:t>
            </w:r>
          </w:p>
        </w:tc>
        <w:tc>
          <w:tcPr>
            <w:tcW w:w="1418" w:type="dxa"/>
            <w:tcBorders>
              <w:top w:val="single" w:color="auto" w:sz="4" w:space="0"/>
              <w:bottom w:val="single" w:color="auto" w:sz="4" w:space="0"/>
              <w:right w:val="single" w:color="auto" w:sz="4" w:space="0"/>
            </w:tcBorders>
            <w:shd w:val="clear" w:color="auto" w:fill="auto"/>
          </w:tcPr>
          <w:p>
            <w:pPr>
              <w:widowControl/>
              <w:snapToGrid w:val="0"/>
              <w:jc w:val="center"/>
              <w:rPr>
                <w:rFonts w:ascii="华文楷体" w:hAnsi="华文楷体" w:eastAsia="华文楷体"/>
                <w:b/>
                <w:sz w:val="28"/>
                <w:szCs w:val="21"/>
              </w:rPr>
            </w:pPr>
            <w:r>
              <w:rPr>
                <w:rFonts w:hint="eastAsia" w:ascii="华文楷体" w:hAnsi="华文楷体" w:eastAsia="华文楷体"/>
                <w:b/>
                <w:sz w:val="28"/>
                <w:szCs w:val="21"/>
              </w:rPr>
              <w:t>备注</w:t>
            </w:r>
          </w:p>
        </w:tc>
      </w:tr>
      <w:tr>
        <w:tblPrEx>
          <w:tblLayout w:type="fixed"/>
          <w:tblCellMar>
            <w:top w:w="0" w:type="dxa"/>
            <w:left w:w="0" w:type="dxa"/>
            <w:bottom w:w="0" w:type="dxa"/>
            <w:right w:w="0" w:type="dxa"/>
          </w:tblCellMar>
        </w:tblPrEx>
        <w:trPr>
          <w:cantSplit/>
          <w:trHeight w:val="388" w:hRule="atLeast"/>
        </w:trPr>
        <w:tc>
          <w:tcPr>
            <w:tcW w:w="4111"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sz w:val="24"/>
                <w:szCs w:val="21"/>
              </w:rPr>
            </w:pPr>
            <w:r>
              <w:rPr>
                <w:rFonts w:ascii="华文楷体" w:hAnsi="华文楷体" w:eastAsia="华文楷体"/>
                <w:sz w:val="24"/>
                <w:szCs w:val="21"/>
              </w:rPr>
              <w:t>平安</w:t>
            </w:r>
            <w:r>
              <w:rPr>
                <w:rFonts w:hint="eastAsia" w:ascii="华文楷体" w:hAnsi="华文楷体" w:eastAsia="华文楷体"/>
                <w:sz w:val="24"/>
                <w:szCs w:val="21"/>
              </w:rPr>
              <w:t>男性</w:t>
            </w:r>
            <w:r>
              <w:rPr>
                <w:rFonts w:ascii="华文楷体" w:hAnsi="华文楷体" w:eastAsia="华文楷体"/>
                <w:sz w:val="24"/>
                <w:szCs w:val="21"/>
              </w:rPr>
              <w:t>安康</w:t>
            </w:r>
            <w:r>
              <w:rPr>
                <w:rFonts w:hint="eastAsia" w:ascii="华文楷体" w:hAnsi="华文楷体" w:eastAsia="华文楷体"/>
                <w:sz w:val="24"/>
                <w:szCs w:val="21"/>
              </w:rPr>
              <w:t>恶性肿瘤</w:t>
            </w:r>
            <w:r>
              <w:rPr>
                <w:rFonts w:ascii="华文楷体" w:hAnsi="华文楷体" w:eastAsia="华文楷体"/>
                <w:sz w:val="24"/>
                <w:szCs w:val="21"/>
              </w:rPr>
              <w:t>疾病保险</w:t>
            </w:r>
          </w:p>
        </w:tc>
        <w:tc>
          <w:tcPr>
            <w:tcW w:w="1418" w:type="dxa"/>
            <w:tcBorders>
              <w:top w:val="nil"/>
              <w:left w:val="nil"/>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sz w:val="24"/>
                <w:szCs w:val="21"/>
              </w:rPr>
            </w:pPr>
            <w:r>
              <w:rPr>
                <w:rFonts w:hint="eastAsia" w:ascii="华文楷体" w:hAnsi="华文楷体" w:eastAsia="华文楷体"/>
                <w:sz w:val="24"/>
                <w:szCs w:val="21"/>
              </w:rPr>
              <w:t>2万元</w:t>
            </w:r>
          </w:p>
        </w:tc>
        <w:tc>
          <w:tcPr>
            <w:tcW w:w="1842" w:type="dxa"/>
            <w:vMerge w:val="restart"/>
            <w:tcBorders>
              <w:top w:val="single" w:color="auto" w:sz="4" w:space="0"/>
              <w:right w:val="single" w:color="auto" w:sz="4" w:space="0"/>
            </w:tcBorders>
            <w:shd w:val="clear" w:color="auto" w:fill="auto"/>
            <w:vAlign w:val="center"/>
          </w:tcPr>
          <w:p>
            <w:pPr>
              <w:widowControl/>
              <w:snapToGrid w:val="0"/>
              <w:jc w:val="center"/>
              <w:rPr>
                <w:rFonts w:ascii="华文楷体" w:hAnsi="华文楷体" w:eastAsia="华文楷体"/>
                <w:sz w:val="28"/>
              </w:rPr>
            </w:pPr>
            <w:r>
              <w:rPr>
                <w:rFonts w:hint="eastAsia" w:ascii="华文楷体" w:hAnsi="华文楷体" w:eastAsia="华文楷体"/>
                <w:sz w:val="28"/>
              </w:rPr>
              <w:t>50元/份/年</w:t>
            </w:r>
          </w:p>
        </w:tc>
        <w:tc>
          <w:tcPr>
            <w:tcW w:w="1418" w:type="dxa"/>
            <w:vMerge w:val="restart"/>
            <w:tcBorders>
              <w:top w:val="single" w:color="auto" w:sz="4" w:space="0"/>
              <w:right w:val="single" w:color="auto" w:sz="4" w:space="0"/>
            </w:tcBorders>
            <w:shd w:val="clear" w:color="auto" w:fill="auto"/>
            <w:vAlign w:val="center"/>
          </w:tcPr>
          <w:p>
            <w:pPr>
              <w:widowControl/>
              <w:snapToGrid w:val="0"/>
              <w:jc w:val="center"/>
              <w:rPr>
                <w:rFonts w:ascii="华文楷体" w:hAnsi="华文楷体" w:eastAsia="华文楷体"/>
                <w:sz w:val="28"/>
              </w:rPr>
            </w:pPr>
            <w:r>
              <w:rPr>
                <w:rFonts w:hint="eastAsia" w:ascii="华文楷体" w:hAnsi="华文楷体" w:eastAsia="华文楷体"/>
                <w:sz w:val="28"/>
              </w:rPr>
              <w:t>每人限购 二份</w:t>
            </w:r>
          </w:p>
        </w:tc>
      </w:tr>
      <w:tr>
        <w:tblPrEx>
          <w:tblLayout w:type="fixed"/>
          <w:tblCellMar>
            <w:top w:w="0" w:type="dxa"/>
            <w:left w:w="0" w:type="dxa"/>
            <w:bottom w:w="0" w:type="dxa"/>
            <w:right w:w="0" w:type="dxa"/>
          </w:tblCellMar>
        </w:tblPrEx>
        <w:trPr>
          <w:cantSplit/>
          <w:trHeight w:val="101" w:hRule="atLeast"/>
        </w:trPr>
        <w:tc>
          <w:tcPr>
            <w:tcW w:w="4111"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sz w:val="24"/>
                <w:szCs w:val="21"/>
              </w:rPr>
            </w:pPr>
            <w:r>
              <w:rPr>
                <w:rFonts w:hint="eastAsia" w:ascii="华文楷体" w:hAnsi="华文楷体" w:eastAsia="华文楷体"/>
                <w:sz w:val="24"/>
                <w:szCs w:val="21"/>
              </w:rPr>
              <w:t>平安甲状腺癌保险</w:t>
            </w:r>
          </w:p>
        </w:tc>
        <w:tc>
          <w:tcPr>
            <w:tcW w:w="1418"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sz w:val="24"/>
                <w:szCs w:val="21"/>
              </w:rPr>
            </w:pPr>
            <w:r>
              <w:rPr>
                <w:rFonts w:hint="eastAsia" w:ascii="华文楷体" w:hAnsi="华文楷体" w:eastAsia="华文楷体"/>
                <w:sz w:val="24"/>
                <w:szCs w:val="21"/>
              </w:rPr>
              <w:t>1万元</w:t>
            </w:r>
          </w:p>
        </w:tc>
        <w:tc>
          <w:tcPr>
            <w:tcW w:w="1842" w:type="dxa"/>
            <w:vMerge w:val="continue"/>
            <w:tcBorders>
              <w:right w:val="single" w:color="auto" w:sz="4" w:space="0"/>
            </w:tcBorders>
            <w:shd w:val="clear" w:color="auto" w:fill="auto"/>
          </w:tcPr>
          <w:p>
            <w:pPr>
              <w:widowControl/>
              <w:snapToGrid w:val="0"/>
              <w:jc w:val="center"/>
              <w:rPr>
                <w:rFonts w:ascii="华文楷体" w:hAnsi="华文楷体" w:eastAsia="华文楷体"/>
                <w:sz w:val="24"/>
                <w:szCs w:val="21"/>
              </w:rPr>
            </w:pPr>
          </w:p>
        </w:tc>
        <w:tc>
          <w:tcPr>
            <w:tcW w:w="1418" w:type="dxa"/>
            <w:vMerge w:val="continue"/>
            <w:tcBorders>
              <w:right w:val="single" w:color="auto" w:sz="4" w:space="0"/>
            </w:tcBorders>
            <w:shd w:val="clear" w:color="auto" w:fill="auto"/>
          </w:tcPr>
          <w:p>
            <w:pPr>
              <w:widowControl/>
              <w:snapToGrid w:val="0"/>
              <w:jc w:val="center"/>
              <w:rPr>
                <w:rFonts w:ascii="华文楷体" w:hAnsi="华文楷体" w:eastAsia="华文楷体"/>
                <w:sz w:val="24"/>
                <w:szCs w:val="21"/>
              </w:rPr>
            </w:pPr>
          </w:p>
        </w:tc>
      </w:tr>
      <w:tr>
        <w:tblPrEx>
          <w:tblLayout w:type="fixed"/>
          <w:tblCellMar>
            <w:top w:w="0" w:type="dxa"/>
            <w:left w:w="0" w:type="dxa"/>
            <w:bottom w:w="0" w:type="dxa"/>
            <w:right w:w="0" w:type="dxa"/>
          </w:tblCellMar>
        </w:tblPrEx>
        <w:trPr>
          <w:cantSplit/>
          <w:trHeight w:val="332" w:hRule="atLeast"/>
        </w:trPr>
        <w:tc>
          <w:tcPr>
            <w:tcW w:w="41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sz w:val="24"/>
                <w:szCs w:val="21"/>
              </w:rPr>
            </w:pPr>
            <w:r>
              <w:rPr>
                <w:rFonts w:hint="eastAsia" w:ascii="华文楷体" w:hAnsi="华文楷体" w:eastAsia="华文楷体"/>
                <w:sz w:val="24"/>
                <w:szCs w:val="21"/>
              </w:rPr>
              <w:t>原位癌</w:t>
            </w:r>
            <w:r>
              <w:rPr>
                <w:rFonts w:hint="eastAsia" w:ascii="华文楷体" w:hAnsi="华文楷体" w:eastAsia="华文楷体"/>
                <w:b/>
                <w:sz w:val="24"/>
                <w:szCs w:val="21"/>
              </w:rPr>
              <w:t>（与以上两项不得累计赔付）</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sz w:val="24"/>
                <w:szCs w:val="21"/>
              </w:rPr>
            </w:pPr>
            <w:r>
              <w:rPr>
                <w:rFonts w:hint="eastAsia" w:ascii="华文楷体" w:hAnsi="华文楷体" w:eastAsia="华文楷体"/>
                <w:sz w:val="24"/>
                <w:szCs w:val="21"/>
              </w:rPr>
              <w:t>0.3万元</w:t>
            </w:r>
          </w:p>
        </w:tc>
        <w:tc>
          <w:tcPr>
            <w:tcW w:w="1842" w:type="dxa"/>
            <w:vMerge w:val="continue"/>
            <w:tcBorders>
              <w:bottom w:val="single" w:color="auto" w:sz="4" w:space="0"/>
              <w:right w:val="single" w:color="auto" w:sz="4" w:space="0"/>
            </w:tcBorders>
            <w:shd w:val="clear" w:color="auto" w:fill="auto"/>
          </w:tcPr>
          <w:p>
            <w:pPr>
              <w:snapToGrid w:val="0"/>
              <w:jc w:val="center"/>
              <w:rPr>
                <w:rFonts w:ascii="华文楷体" w:hAnsi="华文楷体" w:eastAsia="华文楷体"/>
                <w:sz w:val="24"/>
                <w:szCs w:val="21"/>
              </w:rPr>
            </w:pPr>
          </w:p>
        </w:tc>
        <w:tc>
          <w:tcPr>
            <w:tcW w:w="1418" w:type="dxa"/>
            <w:vMerge w:val="continue"/>
            <w:tcBorders>
              <w:bottom w:val="single" w:color="auto" w:sz="4" w:space="0"/>
              <w:right w:val="single" w:color="auto" w:sz="4" w:space="0"/>
            </w:tcBorders>
            <w:shd w:val="clear" w:color="auto" w:fill="auto"/>
          </w:tcPr>
          <w:p>
            <w:pPr>
              <w:snapToGrid w:val="0"/>
              <w:jc w:val="center"/>
              <w:rPr>
                <w:rFonts w:ascii="华文楷体" w:hAnsi="华文楷体" w:eastAsia="华文楷体"/>
                <w:sz w:val="24"/>
                <w:szCs w:val="21"/>
              </w:rPr>
            </w:pPr>
          </w:p>
        </w:tc>
      </w:tr>
    </w:tbl>
    <w:p>
      <w:pPr>
        <w:spacing w:line="480" w:lineRule="auto"/>
        <w:ind w:left="482"/>
        <w:rPr>
          <w:rFonts w:ascii="华文楷体" w:hAnsi="华文楷体" w:eastAsia="华文楷体"/>
          <w:b/>
          <w:color w:val="FF0000"/>
          <w:sz w:val="28"/>
          <w:szCs w:val="21"/>
        </w:rPr>
      </w:pPr>
      <w:r>
        <w:rPr>
          <w:rFonts w:hint="eastAsia" w:ascii="华文楷体" w:hAnsi="华文楷体" w:eastAsia="华文楷体"/>
          <w:b/>
          <w:color w:val="FF0000"/>
          <w:sz w:val="28"/>
          <w:szCs w:val="21"/>
        </w:rPr>
        <w:t>备注： 63至70周岁人员保费翻倍。</w:t>
      </w:r>
    </w:p>
    <w:p>
      <w:pPr>
        <w:spacing w:line="480" w:lineRule="auto"/>
        <w:ind w:left="482"/>
        <w:rPr>
          <w:rFonts w:ascii="华文楷体" w:hAnsi="华文楷体" w:eastAsia="华文楷体"/>
          <w:b/>
          <w:color w:val="FF0000"/>
          <w:sz w:val="28"/>
          <w:szCs w:val="21"/>
        </w:rPr>
      </w:pPr>
    </w:p>
    <w:p>
      <w:pPr>
        <w:pStyle w:val="29"/>
        <w:numPr>
          <w:ilvl w:val="0"/>
          <w:numId w:val="3"/>
        </w:numPr>
        <w:ind w:firstLineChars="0"/>
        <w:rPr>
          <w:rFonts w:ascii="华文楷体" w:hAnsi="华文楷体" w:eastAsia="华文楷体"/>
          <w:b/>
          <w:sz w:val="28"/>
          <w:szCs w:val="32"/>
        </w:rPr>
      </w:pPr>
      <w:r>
        <w:rPr>
          <w:rFonts w:hint="eastAsia" w:ascii="华文楷体" w:hAnsi="华文楷体" w:eastAsia="华文楷体"/>
          <w:b/>
          <w:sz w:val="28"/>
          <w:szCs w:val="32"/>
        </w:rPr>
        <w:t>标准方案</w:t>
      </w:r>
    </w:p>
    <w:tbl>
      <w:tblPr>
        <w:tblStyle w:val="24"/>
        <w:tblW w:w="8789" w:type="dxa"/>
        <w:tblInd w:w="229" w:type="dxa"/>
        <w:tblLayout w:type="fixed"/>
        <w:tblCellMar>
          <w:top w:w="0" w:type="dxa"/>
          <w:left w:w="0" w:type="dxa"/>
          <w:bottom w:w="0" w:type="dxa"/>
          <w:right w:w="0" w:type="dxa"/>
        </w:tblCellMar>
      </w:tblPr>
      <w:tblGrid>
        <w:gridCol w:w="4111"/>
        <w:gridCol w:w="1418"/>
        <w:gridCol w:w="1842"/>
        <w:gridCol w:w="1418"/>
      </w:tblGrid>
      <w:tr>
        <w:tblPrEx>
          <w:tblLayout w:type="fixed"/>
          <w:tblCellMar>
            <w:top w:w="0" w:type="dxa"/>
            <w:left w:w="0" w:type="dxa"/>
            <w:bottom w:w="0" w:type="dxa"/>
            <w:right w:w="0" w:type="dxa"/>
          </w:tblCellMar>
        </w:tblPrEx>
        <w:trPr>
          <w:trHeight w:val="324" w:hRule="atLeast"/>
        </w:trPr>
        <w:tc>
          <w:tcPr>
            <w:tcW w:w="411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
                <w:bCs/>
                <w:sz w:val="28"/>
                <w:szCs w:val="21"/>
              </w:rPr>
            </w:pPr>
            <w:r>
              <w:rPr>
                <w:rFonts w:hint="eastAsia" w:ascii="华文楷体" w:hAnsi="华文楷体" w:eastAsia="华文楷体"/>
                <w:b/>
                <w:sz w:val="28"/>
                <w:szCs w:val="21"/>
              </w:rPr>
              <w:t>保障项目</w:t>
            </w:r>
          </w:p>
        </w:tc>
        <w:tc>
          <w:tcPr>
            <w:tcW w:w="14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
                <w:bCs/>
                <w:sz w:val="28"/>
                <w:szCs w:val="21"/>
              </w:rPr>
            </w:pPr>
            <w:r>
              <w:rPr>
                <w:rFonts w:hint="eastAsia" w:ascii="华文楷体" w:hAnsi="华文楷体" w:eastAsia="华文楷体"/>
                <w:b/>
                <w:bCs/>
                <w:sz w:val="28"/>
              </w:rPr>
              <w:t>保险金额</w:t>
            </w:r>
          </w:p>
        </w:tc>
        <w:tc>
          <w:tcPr>
            <w:tcW w:w="184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
                <w:bCs/>
                <w:sz w:val="28"/>
                <w:szCs w:val="21"/>
              </w:rPr>
            </w:pPr>
            <w:r>
              <w:rPr>
                <w:rFonts w:hint="eastAsia" w:ascii="华文楷体" w:hAnsi="华文楷体" w:eastAsia="华文楷体"/>
                <w:b/>
                <w:sz w:val="28"/>
              </w:rPr>
              <w:t>保费</w:t>
            </w:r>
          </w:p>
        </w:tc>
        <w:tc>
          <w:tcPr>
            <w:tcW w:w="1418" w:type="dxa"/>
            <w:tcBorders>
              <w:top w:val="single" w:color="auto" w:sz="4" w:space="0"/>
              <w:bottom w:val="single" w:color="auto" w:sz="4" w:space="0"/>
              <w:right w:val="single" w:color="auto" w:sz="4" w:space="0"/>
            </w:tcBorders>
            <w:shd w:val="clear" w:color="auto" w:fill="auto"/>
          </w:tcPr>
          <w:p>
            <w:pPr>
              <w:widowControl/>
              <w:snapToGrid w:val="0"/>
              <w:jc w:val="center"/>
              <w:rPr>
                <w:rFonts w:ascii="华文楷体" w:hAnsi="华文楷体" w:eastAsia="华文楷体"/>
                <w:b/>
                <w:sz w:val="28"/>
                <w:szCs w:val="20"/>
              </w:rPr>
            </w:pPr>
            <w:r>
              <w:rPr>
                <w:rFonts w:hint="eastAsia" w:ascii="华文楷体" w:hAnsi="华文楷体" w:eastAsia="华文楷体"/>
                <w:b/>
                <w:sz w:val="28"/>
              </w:rPr>
              <w:t>备注</w:t>
            </w:r>
          </w:p>
        </w:tc>
      </w:tr>
      <w:tr>
        <w:tblPrEx>
          <w:tblLayout w:type="fixed"/>
          <w:tblCellMar>
            <w:top w:w="0" w:type="dxa"/>
            <w:left w:w="0" w:type="dxa"/>
            <w:bottom w:w="0" w:type="dxa"/>
            <w:right w:w="0" w:type="dxa"/>
          </w:tblCellMar>
        </w:tblPrEx>
        <w:trPr>
          <w:cantSplit/>
          <w:trHeight w:val="354" w:hRule="atLeast"/>
        </w:trPr>
        <w:tc>
          <w:tcPr>
            <w:tcW w:w="41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Cs/>
                <w:sz w:val="24"/>
                <w:szCs w:val="21"/>
              </w:rPr>
            </w:pPr>
            <w:r>
              <w:rPr>
                <w:rFonts w:ascii="华文楷体" w:hAnsi="华文楷体" w:eastAsia="华文楷体"/>
                <w:sz w:val="24"/>
                <w:szCs w:val="21"/>
              </w:rPr>
              <w:t>平安安康乳腺癌疾病保险</w:t>
            </w:r>
          </w:p>
        </w:tc>
        <w:tc>
          <w:tcPr>
            <w:tcW w:w="1418" w:type="dxa"/>
            <w:tcBorders>
              <w:top w:val="nil"/>
              <w:left w:val="nil"/>
              <w:bottom w:val="single" w:color="auto" w:sz="4"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Cs/>
                <w:sz w:val="28"/>
                <w:szCs w:val="21"/>
              </w:rPr>
            </w:pPr>
            <w:r>
              <w:rPr>
                <w:rFonts w:hint="eastAsia" w:ascii="华文楷体" w:hAnsi="华文楷体" w:eastAsia="华文楷体"/>
                <w:bCs/>
                <w:sz w:val="28"/>
              </w:rPr>
              <w:t>2.5万元</w:t>
            </w:r>
          </w:p>
        </w:tc>
        <w:tc>
          <w:tcPr>
            <w:tcW w:w="1842" w:type="dxa"/>
            <w:vMerge w:val="restart"/>
            <w:tcBorders>
              <w:top w:val="single" w:color="auto" w:sz="4" w:space="0"/>
              <w:right w:val="single" w:color="auto" w:sz="4" w:space="0"/>
            </w:tcBorders>
            <w:shd w:val="clear" w:color="auto" w:fill="auto"/>
            <w:vAlign w:val="center"/>
          </w:tcPr>
          <w:p>
            <w:pPr>
              <w:widowControl/>
              <w:snapToGrid w:val="0"/>
              <w:jc w:val="center"/>
              <w:rPr>
                <w:rFonts w:ascii="华文楷体" w:hAnsi="华文楷体" w:eastAsia="华文楷体"/>
                <w:sz w:val="28"/>
                <w:szCs w:val="20"/>
              </w:rPr>
            </w:pPr>
            <w:r>
              <w:rPr>
                <w:rFonts w:hint="eastAsia" w:ascii="华文楷体" w:hAnsi="华文楷体" w:eastAsia="华文楷体"/>
                <w:sz w:val="28"/>
              </w:rPr>
              <w:t>50元/份/年</w:t>
            </w:r>
          </w:p>
        </w:tc>
        <w:tc>
          <w:tcPr>
            <w:tcW w:w="1418" w:type="dxa"/>
            <w:vMerge w:val="restart"/>
            <w:tcBorders>
              <w:top w:val="single" w:color="auto" w:sz="4" w:space="0"/>
              <w:right w:val="single" w:color="auto" w:sz="4" w:space="0"/>
            </w:tcBorders>
            <w:shd w:val="clear" w:color="auto" w:fill="auto"/>
            <w:vAlign w:val="center"/>
          </w:tcPr>
          <w:p>
            <w:pPr>
              <w:widowControl/>
              <w:snapToGrid w:val="0"/>
              <w:jc w:val="center"/>
              <w:rPr>
                <w:rFonts w:ascii="华文楷体" w:hAnsi="华文楷体" w:eastAsia="华文楷体"/>
                <w:sz w:val="28"/>
              </w:rPr>
            </w:pPr>
            <w:r>
              <w:rPr>
                <w:rFonts w:hint="eastAsia" w:ascii="华文楷体" w:hAnsi="华文楷体" w:eastAsia="华文楷体"/>
                <w:sz w:val="28"/>
              </w:rPr>
              <w:t>每人限购</w:t>
            </w:r>
          </w:p>
          <w:p>
            <w:pPr>
              <w:widowControl/>
              <w:snapToGrid w:val="0"/>
              <w:jc w:val="center"/>
              <w:rPr>
                <w:rFonts w:ascii="华文楷体" w:hAnsi="华文楷体" w:eastAsia="华文楷体"/>
                <w:sz w:val="28"/>
                <w:szCs w:val="20"/>
              </w:rPr>
            </w:pPr>
            <w:r>
              <w:rPr>
                <w:rFonts w:hint="eastAsia" w:ascii="华文楷体" w:hAnsi="华文楷体" w:eastAsia="华文楷体"/>
                <w:sz w:val="28"/>
              </w:rPr>
              <w:t>二份</w:t>
            </w:r>
          </w:p>
        </w:tc>
      </w:tr>
      <w:tr>
        <w:tblPrEx>
          <w:tblLayout w:type="fixed"/>
          <w:tblCellMar>
            <w:top w:w="0" w:type="dxa"/>
            <w:left w:w="0" w:type="dxa"/>
            <w:bottom w:w="0" w:type="dxa"/>
            <w:right w:w="0" w:type="dxa"/>
          </w:tblCellMar>
        </w:tblPrEx>
        <w:trPr>
          <w:cantSplit/>
          <w:trHeight w:val="54" w:hRule="atLeast"/>
        </w:trPr>
        <w:tc>
          <w:tcPr>
            <w:tcW w:w="41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Cs/>
                <w:sz w:val="24"/>
                <w:szCs w:val="21"/>
              </w:rPr>
            </w:pPr>
            <w:r>
              <w:rPr>
                <w:rFonts w:ascii="华文楷体" w:hAnsi="华文楷体" w:eastAsia="华文楷体"/>
                <w:sz w:val="24"/>
                <w:szCs w:val="21"/>
              </w:rPr>
              <w:t>平安安康其它妇科癌保险</w:t>
            </w:r>
          </w:p>
        </w:tc>
        <w:tc>
          <w:tcPr>
            <w:tcW w:w="1418" w:type="dxa"/>
            <w:tcBorders>
              <w:top w:val="nil"/>
              <w:left w:val="nil"/>
              <w:bottom w:val="single" w:color="auto" w:sz="4"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Cs/>
                <w:sz w:val="28"/>
                <w:szCs w:val="21"/>
              </w:rPr>
            </w:pPr>
            <w:r>
              <w:rPr>
                <w:rFonts w:hint="eastAsia" w:ascii="华文楷体" w:hAnsi="华文楷体" w:eastAsia="华文楷体"/>
                <w:bCs/>
                <w:sz w:val="28"/>
              </w:rPr>
              <w:t>1.5万元</w:t>
            </w:r>
          </w:p>
        </w:tc>
        <w:tc>
          <w:tcPr>
            <w:tcW w:w="1842" w:type="dxa"/>
            <w:vMerge w:val="continue"/>
            <w:tcBorders>
              <w:right w:val="single" w:color="auto" w:sz="4" w:space="0"/>
            </w:tcBorders>
            <w:shd w:val="clear" w:color="auto" w:fill="auto"/>
          </w:tcPr>
          <w:p>
            <w:pPr>
              <w:widowControl/>
              <w:snapToGrid w:val="0"/>
              <w:jc w:val="center"/>
              <w:rPr>
                <w:rFonts w:ascii="华文楷体" w:hAnsi="华文楷体" w:eastAsia="华文楷体"/>
                <w:sz w:val="22"/>
                <w:szCs w:val="20"/>
              </w:rPr>
            </w:pPr>
          </w:p>
        </w:tc>
        <w:tc>
          <w:tcPr>
            <w:tcW w:w="1418" w:type="dxa"/>
            <w:vMerge w:val="continue"/>
            <w:tcBorders>
              <w:right w:val="single" w:color="auto" w:sz="4" w:space="0"/>
            </w:tcBorders>
            <w:shd w:val="clear" w:color="auto" w:fill="auto"/>
          </w:tcPr>
          <w:p>
            <w:pPr>
              <w:widowControl/>
              <w:snapToGrid w:val="0"/>
              <w:jc w:val="center"/>
              <w:rPr>
                <w:rFonts w:ascii="华文楷体" w:hAnsi="华文楷体" w:eastAsia="华文楷体"/>
                <w:sz w:val="22"/>
                <w:szCs w:val="20"/>
              </w:rPr>
            </w:pPr>
          </w:p>
        </w:tc>
      </w:tr>
      <w:tr>
        <w:tblPrEx>
          <w:tblLayout w:type="fixed"/>
          <w:tblCellMar>
            <w:top w:w="0" w:type="dxa"/>
            <w:left w:w="0" w:type="dxa"/>
            <w:bottom w:w="0" w:type="dxa"/>
            <w:right w:w="0" w:type="dxa"/>
          </w:tblCellMar>
        </w:tblPrEx>
        <w:trPr>
          <w:cantSplit/>
          <w:trHeight w:val="92" w:hRule="atLeast"/>
        </w:trPr>
        <w:tc>
          <w:tcPr>
            <w:tcW w:w="41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sz w:val="24"/>
                <w:szCs w:val="21"/>
              </w:rPr>
            </w:pPr>
            <w:r>
              <w:rPr>
                <w:rFonts w:hint="eastAsia" w:ascii="华文楷体" w:hAnsi="华文楷体" w:eastAsia="华文楷体"/>
                <w:sz w:val="24"/>
                <w:szCs w:val="21"/>
              </w:rPr>
              <w:t>平安甲状腺癌保险</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Cs/>
                <w:sz w:val="28"/>
                <w:szCs w:val="21"/>
              </w:rPr>
            </w:pPr>
            <w:r>
              <w:rPr>
                <w:rFonts w:hint="eastAsia" w:ascii="华文楷体" w:hAnsi="华文楷体" w:eastAsia="华文楷体"/>
                <w:bCs/>
                <w:sz w:val="28"/>
              </w:rPr>
              <w:t>0.8万元</w:t>
            </w:r>
          </w:p>
        </w:tc>
        <w:tc>
          <w:tcPr>
            <w:tcW w:w="1842" w:type="dxa"/>
            <w:vMerge w:val="continue"/>
            <w:tcBorders>
              <w:right w:val="single" w:color="auto" w:sz="4" w:space="0"/>
            </w:tcBorders>
            <w:shd w:val="clear" w:color="auto" w:fill="auto"/>
          </w:tcPr>
          <w:p>
            <w:pPr>
              <w:widowControl/>
              <w:snapToGrid w:val="0"/>
              <w:jc w:val="center"/>
              <w:rPr>
                <w:rFonts w:ascii="华文楷体" w:hAnsi="华文楷体" w:eastAsia="华文楷体"/>
                <w:sz w:val="22"/>
                <w:szCs w:val="20"/>
              </w:rPr>
            </w:pPr>
          </w:p>
        </w:tc>
        <w:tc>
          <w:tcPr>
            <w:tcW w:w="1418" w:type="dxa"/>
            <w:vMerge w:val="continue"/>
            <w:tcBorders>
              <w:right w:val="single" w:color="auto" w:sz="4" w:space="0"/>
            </w:tcBorders>
            <w:shd w:val="clear" w:color="auto" w:fill="auto"/>
          </w:tcPr>
          <w:p>
            <w:pPr>
              <w:widowControl/>
              <w:snapToGrid w:val="0"/>
              <w:jc w:val="center"/>
              <w:rPr>
                <w:rFonts w:ascii="华文楷体" w:hAnsi="华文楷体" w:eastAsia="华文楷体"/>
                <w:sz w:val="22"/>
                <w:szCs w:val="20"/>
              </w:rPr>
            </w:pPr>
          </w:p>
        </w:tc>
      </w:tr>
      <w:tr>
        <w:tblPrEx>
          <w:tblLayout w:type="fixed"/>
          <w:tblCellMar>
            <w:top w:w="0" w:type="dxa"/>
            <w:left w:w="0" w:type="dxa"/>
            <w:bottom w:w="0" w:type="dxa"/>
            <w:right w:w="0" w:type="dxa"/>
          </w:tblCellMar>
        </w:tblPrEx>
        <w:trPr>
          <w:cantSplit/>
          <w:trHeight w:val="92" w:hRule="atLeast"/>
        </w:trPr>
        <w:tc>
          <w:tcPr>
            <w:tcW w:w="41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sz w:val="24"/>
                <w:szCs w:val="21"/>
              </w:rPr>
            </w:pPr>
            <w:r>
              <w:rPr>
                <w:rFonts w:hint="eastAsia" w:ascii="华文楷体" w:hAnsi="华文楷体" w:eastAsia="华文楷体"/>
                <w:sz w:val="24"/>
                <w:szCs w:val="21"/>
              </w:rPr>
              <w:t>平安安康其它癌症保险</w:t>
            </w:r>
          </w:p>
          <w:p>
            <w:pPr>
              <w:snapToGrid w:val="0"/>
              <w:jc w:val="center"/>
              <w:rPr>
                <w:rFonts w:ascii="华文楷体" w:hAnsi="华文楷体" w:eastAsia="华文楷体"/>
                <w:b/>
                <w:sz w:val="24"/>
                <w:szCs w:val="21"/>
              </w:rPr>
            </w:pPr>
            <w:r>
              <w:rPr>
                <w:rFonts w:hint="eastAsia" w:ascii="华文楷体" w:hAnsi="华文楷体" w:eastAsia="华文楷体"/>
                <w:b/>
                <w:sz w:val="24"/>
                <w:szCs w:val="21"/>
              </w:rPr>
              <w:t>（除前三项以外的其他癌症）</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bCs/>
                <w:sz w:val="28"/>
              </w:rPr>
            </w:pPr>
            <w:r>
              <w:rPr>
                <w:rFonts w:hint="eastAsia" w:ascii="华文楷体" w:hAnsi="华文楷体" w:eastAsia="华文楷体"/>
                <w:bCs/>
                <w:sz w:val="28"/>
              </w:rPr>
              <w:t>1万元</w:t>
            </w:r>
          </w:p>
        </w:tc>
        <w:tc>
          <w:tcPr>
            <w:tcW w:w="1842" w:type="dxa"/>
            <w:vMerge w:val="continue"/>
            <w:tcBorders>
              <w:right w:val="single" w:color="auto" w:sz="4" w:space="0"/>
            </w:tcBorders>
            <w:shd w:val="clear" w:color="auto" w:fill="auto"/>
          </w:tcPr>
          <w:p>
            <w:pPr>
              <w:widowControl/>
              <w:snapToGrid w:val="0"/>
              <w:jc w:val="center"/>
              <w:rPr>
                <w:rFonts w:ascii="华文楷体" w:hAnsi="华文楷体" w:eastAsia="华文楷体"/>
                <w:sz w:val="22"/>
                <w:szCs w:val="20"/>
              </w:rPr>
            </w:pPr>
          </w:p>
        </w:tc>
        <w:tc>
          <w:tcPr>
            <w:tcW w:w="1418" w:type="dxa"/>
            <w:vMerge w:val="continue"/>
            <w:tcBorders>
              <w:right w:val="single" w:color="auto" w:sz="4" w:space="0"/>
            </w:tcBorders>
            <w:shd w:val="clear" w:color="auto" w:fill="auto"/>
          </w:tcPr>
          <w:p>
            <w:pPr>
              <w:widowControl/>
              <w:snapToGrid w:val="0"/>
              <w:jc w:val="center"/>
              <w:rPr>
                <w:rFonts w:ascii="华文楷体" w:hAnsi="华文楷体" w:eastAsia="华文楷体"/>
                <w:sz w:val="22"/>
                <w:szCs w:val="20"/>
              </w:rPr>
            </w:pPr>
          </w:p>
        </w:tc>
      </w:tr>
      <w:tr>
        <w:tblPrEx>
          <w:tblLayout w:type="fixed"/>
          <w:tblCellMar>
            <w:top w:w="0" w:type="dxa"/>
            <w:left w:w="0" w:type="dxa"/>
            <w:bottom w:w="0" w:type="dxa"/>
            <w:right w:w="0" w:type="dxa"/>
          </w:tblCellMar>
        </w:tblPrEx>
        <w:trPr>
          <w:cantSplit/>
          <w:trHeight w:val="54" w:hRule="atLeast"/>
        </w:trPr>
        <w:tc>
          <w:tcPr>
            <w:tcW w:w="41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Cs/>
                <w:sz w:val="24"/>
                <w:szCs w:val="21"/>
              </w:rPr>
            </w:pPr>
            <w:r>
              <w:rPr>
                <w:rFonts w:hint="eastAsia" w:ascii="华文楷体" w:hAnsi="华文楷体" w:eastAsia="华文楷体"/>
                <w:bCs/>
                <w:sz w:val="24"/>
              </w:rPr>
              <w:t>原位癌</w:t>
            </w:r>
            <w:r>
              <w:rPr>
                <w:rFonts w:hint="eastAsia" w:ascii="华文楷体" w:hAnsi="华文楷体" w:eastAsia="华文楷体"/>
                <w:b/>
                <w:bCs/>
                <w:sz w:val="24"/>
              </w:rPr>
              <w:t>（与以上四项不得累计赔付）</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Cs/>
                <w:sz w:val="28"/>
                <w:szCs w:val="21"/>
              </w:rPr>
            </w:pPr>
            <w:r>
              <w:rPr>
                <w:rFonts w:hint="eastAsia" w:ascii="华文楷体" w:hAnsi="华文楷体" w:eastAsia="华文楷体"/>
                <w:bCs/>
                <w:sz w:val="28"/>
              </w:rPr>
              <w:t>0.3万元</w:t>
            </w:r>
          </w:p>
        </w:tc>
        <w:tc>
          <w:tcPr>
            <w:tcW w:w="1842" w:type="dxa"/>
            <w:vMerge w:val="continue"/>
            <w:tcBorders>
              <w:bottom w:val="single" w:color="auto" w:sz="4" w:space="0"/>
              <w:right w:val="single" w:color="auto" w:sz="4" w:space="0"/>
            </w:tcBorders>
            <w:shd w:val="clear" w:color="auto" w:fill="auto"/>
          </w:tcPr>
          <w:p>
            <w:pPr>
              <w:widowControl/>
              <w:snapToGrid w:val="0"/>
              <w:jc w:val="center"/>
              <w:rPr>
                <w:rFonts w:ascii="华文楷体" w:hAnsi="华文楷体" w:eastAsia="华文楷体"/>
                <w:sz w:val="22"/>
                <w:szCs w:val="20"/>
              </w:rPr>
            </w:pPr>
          </w:p>
        </w:tc>
        <w:tc>
          <w:tcPr>
            <w:tcW w:w="1418" w:type="dxa"/>
            <w:vMerge w:val="continue"/>
            <w:tcBorders>
              <w:bottom w:val="single" w:color="auto" w:sz="4" w:space="0"/>
              <w:right w:val="single" w:color="auto" w:sz="4" w:space="0"/>
            </w:tcBorders>
            <w:shd w:val="clear" w:color="auto" w:fill="auto"/>
          </w:tcPr>
          <w:p>
            <w:pPr>
              <w:widowControl/>
              <w:snapToGrid w:val="0"/>
              <w:jc w:val="center"/>
              <w:rPr>
                <w:rFonts w:ascii="华文楷体" w:hAnsi="华文楷体" w:eastAsia="华文楷体"/>
                <w:sz w:val="22"/>
                <w:szCs w:val="20"/>
              </w:rPr>
            </w:pPr>
          </w:p>
        </w:tc>
      </w:tr>
    </w:tbl>
    <w:p>
      <w:pPr>
        <w:spacing w:line="480" w:lineRule="auto"/>
        <w:ind w:left="482" w:firstLine="367" w:firstLineChars="131"/>
        <w:rPr>
          <w:rFonts w:ascii="华文楷体" w:hAnsi="华文楷体" w:eastAsia="华文楷体"/>
          <w:b/>
          <w:sz w:val="28"/>
          <w:szCs w:val="32"/>
        </w:rPr>
      </w:pPr>
      <w:r>
        <w:rPr>
          <w:rFonts w:hint="eastAsia" w:ascii="华文楷体" w:hAnsi="华文楷体" w:eastAsia="华文楷体"/>
          <w:b/>
          <w:sz w:val="28"/>
          <w:szCs w:val="32"/>
        </w:rPr>
        <w:t>附加男性安康方案</w:t>
      </w:r>
    </w:p>
    <w:tbl>
      <w:tblPr>
        <w:tblStyle w:val="24"/>
        <w:tblW w:w="8789" w:type="dxa"/>
        <w:tblInd w:w="227" w:type="dxa"/>
        <w:tblLayout w:type="fixed"/>
        <w:tblCellMar>
          <w:top w:w="0" w:type="dxa"/>
          <w:left w:w="0" w:type="dxa"/>
          <w:bottom w:w="0" w:type="dxa"/>
          <w:right w:w="0" w:type="dxa"/>
        </w:tblCellMar>
      </w:tblPr>
      <w:tblGrid>
        <w:gridCol w:w="4111"/>
        <w:gridCol w:w="1418"/>
        <w:gridCol w:w="1842"/>
        <w:gridCol w:w="1418"/>
      </w:tblGrid>
      <w:tr>
        <w:tblPrEx>
          <w:tblLayout w:type="fixed"/>
          <w:tblCellMar>
            <w:top w:w="0" w:type="dxa"/>
            <w:left w:w="0" w:type="dxa"/>
            <w:bottom w:w="0" w:type="dxa"/>
            <w:right w:w="0" w:type="dxa"/>
          </w:tblCellMar>
        </w:tblPrEx>
        <w:trPr>
          <w:trHeight w:val="324" w:hRule="atLeast"/>
        </w:trPr>
        <w:tc>
          <w:tcPr>
            <w:tcW w:w="411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b/>
                <w:sz w:val="28"/>
                <w:szCs w:val="21"/>
              </w:rPr>
            </w:pPr>
            <w:r>
              <w:rPr>
                <w:rFonts w:hint="eastAsia" w:ascii="华文楷体" w:hAnsi="华文楷体" w:eastAsia="华文楷体"/>
                <w:b/>
                <w:sz w:val="28"/>
                <w:szCs w:val="21"/>
              </w:rPr>
              <w:t>保障项目</w:t>
            </w:r>
          </w:p>
        </w:tc>
        <w:tc>
          <w:tcPr>
            <w:tcW w:w="1418"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b/>
                <w:sz w:val="28"/>
                <w:szCs w:val="21"/>
              </w:rPr>
            </w:pPr>
            <w:r>
              <w:rPr>
                <w:rFonts w:hint="eastAsia" w:ascii="华文楷体" w:hAnsi="华文楷体" w:eastAsia="华文楷体"/>
                <w:b/>
                <w:sz w:val="28"/>
                <w:szCs w:val="21"/>
              </w:rPr>
              <w:t>保险金额</w:t>
            </w:r>
          </w:p>
        </w:tc>
        <w:tc>
          <w:tcPr>
            <w:tcW w:w="1842" w:type="dxa"/>
            <w:tcBorders>
              <w:top w:val="single" w:color="auto" w:sz="8" w:space="0"/>
              <w:left w:val="nil"/>
              <w:bottom w:val="single" w:color="auto" w:sz="4" w:space="0"/>
              <w:right w:val="single" w:color="auto" w:sz="8" w:space="0"/>
            </w:tcBorders>
            <w:vAlign w:val="center"/>
          </w:tcPr>
          <w:p>
            <w:pPr>
              <w:snapToGrid w:val="0"/>
              <w:jc w:val="center"/>
              <w:rPr>
                <w:rFonts w:ascii="华文楷体" w:hAnsi="华文楷体" w:eastAsia="华文楷体"/>
                <w:b/>
                <w:sz w:val="28"/>
                <w:szCs w:val="21"/>
              </w:rPr>
            </w:pPr>
            <w:r>
              <w:rPr>
                <w:rFonts w:hint="eastAsia" w:ascii="华文楷体" w:hAnsi="华文楷体" w:eastAsia="华文楷体"/>
                <w:b/>
                <w:sz w:val="28"/>
                <w:szCs w:val="21"/>
              </w:rPr>
              <w:t>保费</w:t>
            </w:r>
          </w:p>
        </w:tc>
        <w:tc>
          <w:tcPr>
            <w:tcW w:w="1418" w:type="dxa"/>
            <w:tcBorders>
              <w:top w:val="single" w:color="auto" w:sz="4" w:space="0"/>
              <w:bottom w:val="single" w:color="auto" w:sz="4" w:space="0"/>
              <w:right w:val="single" w:color="auto" w:sz="4" w:space="0"/>
            </w:tcBorders>
            <w:shd w:val="clear" w:color="auto" w:fill="auto"/>
          </w:tcPr>
          <w:p>
            <w:pPr>
              <w:widowControl/>
              <w:snapToGrid w:val="0"/>
              <w:jc w:val="center"/>
              <w:rPr>
                <w:rFonts w:ascii="华文楷体" w:hAnsi="华文楷体" w:eastAsia="华文楷体"/>
                <w:b/>
                <w:sz w:val="28"/>
                <w:szCs w:val="21"/>
              </w:rPr>
            </w:pPr>
            <w:r>
              <w:rPr>
                <w:rFonts w:hint="eastAsia" w:ascii="华文楷体" w:hAnsi="华文楷体" w:eastAsia="华文楷体"/>
                <w:b/>
                <w:sz w:val="28"/>
                <w:szCs w:val="21"/>
              </w:rPr>
              <w:t>备注</w:t>
            </w:r>
          </w:p>
        </w:tc>
      </w:tr>
      <w:tr>
        <w:tblPrEx>
          <w:tblLayout w:type="fixed"/>
          <w:tblCellMar>
            <w:top w:w="0" w:type="dxa"/>
            <w:left w:w="0" w:type="dxa"/>
            <w:bottom w:w="0" w:type="dxa"/>
            <w:right w:w="0" w:type="dxa"/>
          </w:tblCellMar>
        </w:tblPrEx>
        <w:trPr>
          <w:cantSplit/>
          <w:trHeight w:val="388" w:hRule="atLeast"/>
        </w:trPr>
        <w:tc>
          <w:tcPr>
            <w:tcW w:w="4111"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sz w:val="24"/>
                <w:szCs w:val="21"/>
              </w:rPr>
            </w:pPr>
            <w:r>
              <w:rPr>
                <w:rFonts w:ascii="华文楷体" w:hAnsi="华文楷体" w:eastAsia="华文楷体"/>
                <w:sz w:val="24"/>
                <w:szCs w:val="21"/>
              </w:rPr>
              <w:t>平安</w:t>
            </w:r>
            <w:r>
              <w:rPr>
                <w:rFonts w:hint="eastAsia" w:ascii="华文楷体" w:hAnsi="华文楷体" w:eastAsia="华文楷体"/>
                <w:sz w:val="24"/>
                <w:szCs w:val="21"/>
              </w:rPr>
              <w:t>男性</w:t>
            </w:r>
            <w:r>
              <w:rPr>
                <w:rFonts w:ascii="华文楷体" w:hAnsi="华文楷体" w:eastAsia="华文楷体"/>
                <w:sz w:val="24"/>
                <w:szCs w:val="21"/>
              </w:rPr>
              <w:t>安康</w:t>
            </w:r>
            <w:r>
              <w:rPr>
                <w:rFonts w:hint="eastAsia" w:ascii="华文楷体" w:hAnsi="华文楷体" w:eastAsia="华文楷体"/>
                <w:sz w:val="24"/>
                <w:szCs w:val="21"/>
              </w:rPr>
              <w:t>男性</w:t>
            </w:r>
            <w:r>
              <w:rPr>
                <w:rFonts w:ascii="华文楷体" w:hAnsi="华文楷体" w:eastAsia="华文楷体"/>
                <w:sz w:val="24"/>
                <w:szCs w:val="21"/>
              </w:rPr>
              <w:t>癌</w:t>
            </w:r>
            <w:r>
              <w:rPr>
                <w:rFonts w:hint="eastAsia" w:ascii="华文楷体" w:hAnsi="华文楷体" w:eastAsia="华文楷体"/>
                <w:sz w:val="24"/>
                <w:szCs w:val="21"/>
              </w:rPr>
              <w:t>症</w:t>
            </w:r>
            <w:r>
              <w:rPr>
                <w:rFonts w:ascii="华文楷体" w:hAnsi="华文楷体" w:eastAsia="华文楷体"/>
                <w:sz w:val="24"/>
                <w:szCs w:val="21"/>
              </w:rPr>
              <w:t>保险</w:t>
            </w:r>
          </w:p>
        </w:tc>
        <w:tc>
          <w:tcPr>
            <w:tcW w:w="1418" w:type="dxa"/>
            <w:tcBorders>
              <w:top w:val="nil"/>
              <w:left w:val="nil"/>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sz w:val="24"/>
                <w:szCs w:val="21"/>
              </w:rPr>
            </w:pPr>
            <w:r>
              <w:rPr>
                <w:rFonts w:hint="eastAsia" w:ascii="华文楷体" w:hAnsi="华文楷体" w:eastAsia="华文楷体"/>
                <w:sz w:val="24"/>
                <w:szCs w:val="21"/>
              </w:rPr>
              <w:t>2.5万元</w:t>
            </w:r>
          </w:p>
        </w:tc>
        <w:tc>
          <w:tcPr>
            <w:tcW w:w="1842" w:type="dxa"/>
            <w:vMerge w:val="restart"/>
            <w:tcBorders>
              <w:top w:val="single" w:color="auto" w:sz="4" w:space="0"/>
              <w:right w:val="single" w:color="auto" w:sz="4" w:space="0"/>
            </w:tcBorders>
            <w:shd w:val="clear" w:color="auto" w:fill="auto"/>
            <w:vAlign w:val="center"/>
          </w:tcPr>
          <w:p>
            <w:pPr>
              <w:widowControl/>
              <w:snapToGrid w:val="0"/>
              <w:jc w:val="center"/>
              <w:rPr>
                <w:rFonts w:ascii="华文楷体" w:hAnsi="华文楷体" w:eastAsia="华文楷体"/>
                <w:sz w:val="28"/>
              </w:rPr>
            </w:pPr>
            <w:r>
              <w:rPr>
                <w:rFonts w:hint="eastAsia" w:ascii="华文楷体" w:hAnsi="华文楷体" w:eastAsia="华文楷体"/>
                <w:sz w:val="28"/>
              </w:rPr>
              <w:t>50元/份/年</w:t>
            </w:r>
          </w:p>
        </w:tc>
        <w:tc>
          <w:tcPr>
            <w:tcW w:w="1418" w:type="dxa"/>
            <w:vMerge w:val="restart"/>
            <w:tcBorders>
              <w:top w:val="single" w:color="auto" w:sz="4" w:space="0"/>
              <w:right w:val="single" w:color="auto" w:sz="4" w:space="0"/>
            </w:tcBorders>
            <w:shd w:val="clear" w:color="auto" w:fill="auto"/>
            <w:vAlign w:val="center"/>
          </w:tcPr>
          <w:p>
            <w:pPr>
              <w:widowControl/>
              <w:snapToGrid w:val="0"/>
              <w:jc w:val="center"/>
              <w:rPr>
                <w:rFonts w:ascii="华文楷体" w:hAnsi="华文楷体" w:eastAsia="华文楷体"/>
                <w:sz w:val="28"/>
              </w:rPr>
            </w:pPr>
            <w:r>
              <w:rPr>
                <w:rFonts w:hint="eastAsia" w:ascii="华文楷体" w:hAnsi="华文楷体" w:eastAsia="华文楷体"/>
                <w:sz w:val="28"/>
              </w:rPr>
              <w:t>每人限购 二份</w:t>
            </w:r>
          </w:p>
        </w:tc>
      </w:tr>
      <w:tr>
        <w:tblPrEx>
          <w:tblLayout w:type="fixed"/>
          <w:tblCellMar>
            <w:top w:w="0" w:type="dxa"/>
            <w:left w:w="0" w:type="dxa"/>
            <w:bottom w:w="0" w:type="dxa"/>
            <w:right w:w="0" w:type="dxa"/>
          </w:tblCellMar>
        </w:tblPrEx>
        <w:trPr>
          <w:cantSplit/>
          <w:trHeight w:val="101" w:hRule="atLeast"/>
        </w:trPr>
        <w:tc>
          <w:tcPr>
            <w:tcW w:w="4111"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sz w:val="24"/>
                <w:szCs w:val="21"/>
              </w:rPr>
            </w:pPr>
            <w:r>
              <w:rPr>
                <w:rFonts w:hint="eastAsia" w:ascii="华文楷体" w:hAnsi="华文楷体" w:eastAsia="华文楷体"/>
                <w:sz w:val="24"/>
                <w:szCs w:val="21"/>
              </w:rPr>
              <w:t>平安甲状腺癌保险</w:t>
            </w:r>
          </w:p>
        </w:tc>
        <w:tc>
          <w:tcPr>
            <w:tcW w:w="1418"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sz w:val="24"/>
                <w:szCs w:val="21"/>
              </w:rPr>
            </w:pPr>
            <w:r>
              <w:rPr>
                <w:rFonts w:hint="eastAsia" w:ascii="华文楷体" w:hAnsi="华文楷体" w:eastAsia="华文楷体"/>
                <w:sz w:val="24"/>
                <w:szCs w:val="21"/>
              </w:rPr>
              <w:t>0.8万元</w:t>
            </w:r>
          </w:p>
        </w:tc>
        <w:tc>
          <w:tcPr>
            <w:tcW w:w="1842" w:type="dxa"/>
            <w:vMerge w:val="continue"/>
            <w:tcBorders>
              <w:right w:val="single" w:color="auto" w:sz="4" w:space="0"/>
            </w:tcBorders>
            <w:shd w:val="clear" w:color="auto" w:fill="auto"/>
          </w:tcPr>
          <w:p>
            <w:pPr>
              <w:widowControl/>
              <w:snapToGrid w:val="0"/>
              <w:jc w:val="center"/>
              <w:rPr>
                <w:rFonts w:ascii="华文楷体" w:hAnsi="华文楷体" w:eastAsia="华文楷体"/>
                <w:sz w:val="24"/>
                <w:szCs w:val="21"/>
              </w:rPr>
            </w:pPr>
          </w:p>
        </w:tc>
        <w:tc>
          <w:tcPr>
            <w:tcW w:w="1418" w:type="dxa"/>
            <w:vMerge w:val="continue"/>
            <w:tcBorders>
              <w:right w:val="single" w:color="auto" w:sz="4" w:space="0"/>
            </w:tcBorders>
            <w:shd w:val="clear" w:color="auto" w:fill="auto"/>
          </w:tcPr>
          <w:p>
            <w:pPr>
              <w:widowControl/>
              <w:snapToGrid w:val="0"/>
              <w:jc w:val="center"/>
              <w:rPr>
                <w:rFonts w:ascii="华文楷体" w:hAnsi="华文楷体" w:eastAsia="华文楷体"/>
                <w:sz w:val="24"/>
                <w:szCs w:val="21"/>
              </w:rPr>
            </w:pPr>
          </w:p>
        </w:tc>
      </w:tr>
      <w:tr>
        <w:tblPrEx>
          <w:tblLayout w:type="fixed"/>
          <w:tblCellMar>
            <w:top w:w="0" w:type="dxa"/>
            <w:left w:w="0" w:type="dxa"/>
            <w:bottom w:w="0" w:type="dxa"/>
            <w:right w:w="0" w:type="dxa"/>
          </w:tblCellMar>
        </w:tblPrEx>
        <w:trPr>
          <w:cantSplit/>
          <w:trHeight w:val="101" w:hRule="atLeast"/>
        </w:trPr>
        <w:tc>
          <w:tcPr>
            <w:tcW w:w="4111"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sz w:val="24"/>
                <w:szCs w:val="21"/>
              </w:rPr>
            </w:pPr>
            <w:r>
              <w:rPr>
                <w:rFonts w:hint="eastAsia" w:ascii="华文楷体" w:hAnsi="华文楷体" w:eastAsia="华文楷体"/>
                <w:sz w:val="24"/>
                <w:szCs w:val="21"/>
              </w:rPr>
              <w:t>平安男性安康其它癌症保险</w:t>
            </w:r>
          </w:p>
          <w:p>
            <w:pPr>
              <w:snapToGrid w:val="0"/>
              <w:jc w:val="center"/>
              <w:rPr>
                <w:rFonts w:ascii="华文楷体" w:hAnsi="华文楷体" w:eastAsia="华文楷体"/>
                <w:b/>
                <w:sz w:val="24"/>
                <w:szCs w:val="21"/>
              </w:rPr>
            </w:pPr>
            <w:r>
              <w:rPr>
                <w:rFonts w:hint="eastAsia" w:ascii="华文楷体" w:hAnsi="华文楷体" w:eastAsia="华文楷体"/>
                <w:b/>
                <w:sz w:val="24"/>
                <w:szCs w:val="21"/>
              </w:rPr>
              <w:t>(除前两项以外的其他癌症)</w:t>
            </w:r>
          </w:p>
        </w:tc>
        <w:tc>
          <w:tcPr>
            <w:tcW w:w="1418"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sz w:val="24"/>
                <w:szCs w:val="21"/>
              </w:rPr>
            </w:pPr>
            <w:r>
              <w:rPr>
                <w:rFonts w:hint="eastAsia" w:ascii="华文楷体" w:hAnsi="华文楷体" w:eastAsia="华文楷体"/>
                <w:sz w:val="24"/>
                <w:szCs w:val="21"/>
              </w:rPr>
              <w:t>2万元</w:t>
            </w:r>
          </w:p>
        </w:tc>
        <w:tc>
          <w:tcPr>
            <w:tcW w:w="1842" w:type="dxa"/>
            <w:vMerge w:val="continue"/>
            <w:tcBorders>
              <w:right w:val="single" w:color="auto" w:sz="4" w:space="0"/>
            </w:tcBorders>
            <w:shd w:val="clear" w:color="auto" w:fill="auto"/>
          </w:tcPr>
          <w:p>
            <w:pPr>
              <w:snapToGrid w:val="0"/>
              <w:jc w:val="center"/>
              <w:rPr>
                <w:rFonts w:ascii="华文楷体" w:hAnsi="华文楷体" w:eastAsia="华文楷体"/>
                <w:sz w:val="24"/>
                <w:szCs w:val="21"/>
              </w:rPr>
            </w:pPr>
          </w:p>
        </w:tc>
        <w:tc>
          <w:tcPr>
            <w:tcW w:w="1418" w:type="dxa"/>
            <w:vMerge w:val="continue"/>
            <w:tcBorders>
              <w:right w:val="single" w:color="auto" w:sz="4" w:space="0"/>
            </w:tcBorders>
            <w:shd w:val="clear" w:color="auto" w:fill="auto"/>
          </w:tcPr>
          <w:p>
            <w:pPr>
              <w:snapToGrid w:val="0"/>
              <w:jc w:val="center"/>
              <w:rPr>
                <w:rFonts w:ascii="华文楷体" w:hAnsi="华文楷体" w:eastAsia="华文楷体"/>
                <w:sz w:val="24"/>
                <w:szCs w:val="21"/>
              </w:rPr>
            </w:pPr>
          </w:p>
        </w:tc>
      </w:tr>
      <w:tr>
        <w:tblPrEx>
          <w:tblLayout w:type="fixed"/>
          <w:tblCellMar>
            <w:top w:w="0" w:type="dxa"/>
            <w:left w:w="0" w:type="dxa"/>
            <w:bottom w:w="0" w:type="dxa"/>
            <w:right w:w="0" w:type="dxa"/>
          </w:tblCellMar>
        </w:tblPrEx>
        <w:trPr>
          <w:cantSplit/>
          <w:trHeight w:val="332" w:hRule="atLeast"/>
        </w:trPr>
        <w:tc>
          <w:tcPr>
            <w:tcW w:w="41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sz w:val="24"/>
                <w:szCs w:val="21"/>
              </w:rPr>
            </w:pPr>
            <w:r>
              <w:rPr>
                <w:rFonts w:hint="eastAsia" w:ascii="华文楷体" w:hAnsi="华文楷体" w:eastAsia="华文楷体"/>
                <w:sz w:val="24"/>
                <w:szCs w:val="21"/>
              </w:rPr>
              <w:t>原位癌</w:t>
            </w:r>
            <w:r>
              <w:rPr>
                <w:rFonts w:hint="eastAsia" w:ascii="华文楷体" w:hAnsi="华文楷体" w:eastAsia="华文楷体"/>
                <w:b/>
                <w:sz w:val="24"/>
                <w:szCs w:val="21"/>
              </w:rPr>
              <w:t>（与以上三项不得累计赔付）</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sz w:val="24"/>
                <w:szCs w:val="21"/>
              </w:rPr>
            </w:pPr>
            <w:r>
              <w:rPr>
                <w:rFonts w:hint="eastAsia" w:ascii="华文楷体" w:hAnsi="华文楷体" w:eastAsia="华文楷体"/>
                <w:sz w:val="24"/>
                <w:szCs w:val="21"/>
              </w:rPr>
              <w:t>0.3万元</w:t>
            </w:r>
          </w:p>
        </w:tc>
        <w:tc>
          <w:tcPr>
            <w:tcW w:w="1842" w:type="dxa"/>
            <w:vMerge w:val="continue"/>
            <w:tcBorders>
              <w:bottom w:val="single" w:color="auto" w:sz="4" w:space="0"/>
              <w:right w:val="single" w:color="auto" w:sz="4" w:space="0"/>
            </w:tcBorders>
            <w:shd w:val="clear" w:color="auto" w:fill="auto"/>
          </w:tcPr>
          <w:p>
            <w:pPr>
              <w:snapToGrid w:val="0"/>
              <w:jc w:val="center"/>
              <w:rPr>
                <w:rFonts w:ascii="华文楷体" w:hAnsi="华文楷体" w:eastAsia="华文楷体"/>
                <w:sz w:val="24"/>
                <w:szCs w:val="21"/>
              </w:rPr>
            </w:pPr>
          </w:p>
        </w:tc>
        <w:tc>
          <w:tcPr>
            <w:tcW w:w="1418" w:type="dxa"/>
            <w:vMerge w:val="continue"/>
            <w:tcBorders>
              <w:bottom w:val="single" w:color="auto" w:sz="4" w:space="0"/>
              <w:right w:val="single" w:color="auto" w:sz="4" w:space="0"/>
            </w:tcBorders>
            <w:shd w:val="clear" w:color="auto" w:fill="auto"/>
          </w:tcPr>
          <w:p>
            <w:pPr>
              <w:snapToGrid w:val="0"/>
              <w:jc w:val="center"/>
              <w:rPr>
                <w:rFonts w:ascii="华文楷体" w:hAnsi="华文楷体" w:eastAsia="华文楷体"/>
                <w:sz w:val="24"/>
                <w:szCs w:val="21"/>
              </w:rPr>
            </w:pPr>
          </w:p>
        </w:tc>
      </w:tr>
    </w:tbl>
    <w:p>
      <w:pPr>
        <w:spacing w:line="480" w:lineRule="auto"/>
        <w:ind w:left="482"/>
        <w:rPr>
          <w:rFonts w:ascii="华文楷体" w:hAnsi="华文楷体" w:eastAsia="华文楷体"/>
          <w:b/>
          <w:color w:val="FF0000"/>
          <w:sz w:val="28"/>
          <w:szCs w:val="21"/>
        </w:rPr>
      </w:pPr>
      <w:r>
        <w:rPr>
          <w:rFonts w:hint="eastAsia" w:ascii="华文楷体" w:hAnsi="华文楷体" w:eastAsia="华文楷体"/>
          <w:b/>
          <w:color w:val="FF0000"/>
          <w:sz w:val="28"/>
          <w:szCs w:val="21"/>
        </w:rPr>
        <w:t>备注： 63至70周岁人员保费翻倍。</w:t>
      </w:r>
    </w:p>
    <w:p>
      <w:pPr>
        <w:spacing w:line="480" w:lineRule="auto"/>
        <w:rPr>
          <w:rFonts w:ascii="华文楷体" w:hAnsi="华文楷体" w:eastAsia="华文楷体"/>
          <w:b/>
          <w:sz w:val="28"/>
          <w:szCs w:val="21"/>
        </w:rPr>
      </w:pPr>
    </w:p>
    <w:p>
      <w:pPr>
        <w:pStyle w:val="29"/>
        <w:numPr>
          <w:ilvl w:val="0"/>
          <w:numId w:val="3"/>
        </w:numPr>
        <w:ind w:firstLineChars="0"/>
        <w:rPr>
          <w:rFonts w:ascii="华文楷体" w:hAnsi="华文楷体" w:eastAsia="华文楷体"/>
          <w:b/>
          <w:sz w:val="28"/>
          <w:szCs w:val="32"/>
        </w:rPr>
      </w:pPr>
      <w:r>
        <w:rPr>
          <w:rFonts w:hint="eastAsia" w:ascii="华文楷体" w:hAnsi="华文楷体" w:eastAsia="华文楷体"/>
          <w:b/>
          <w:sz w:val="28"/>
          <w:szCs w:val="32"/>
        </w:rPr>
        <w:t>可选方案</w:t>
      </w:r>
    </w:p>
    <w:tbl>
      <w:tblPr>
        <w:tblStyle w:val="24"/>
        <w:tblW w:w="8789" w:type="dxa"/>
        <w:tblInd w:w="230" w:type="dxa"/>
        <w:tblLayout w:type="fixed"/>
        <w:tblCellMar>
          <w:top w:w="0" w:type="dxa"/>
          <w:left w:w="0" w:type="dxa"/>
          <w:bottom w:w="0" w:type="dxa"/>
          <w:right w:w="0" w:type="dxa"/>
        </w:tblCellMar>
      </w:tblPr>
      <w:tblGrid>
        <w:gridCol w:w="4111"/>
        <w:gridCol w:w="1418"/>
        <w:gridCol w:w="1842"/>
        <w:gridCol w:w="1418"/>
      </w:tblGrid>
      <w:tr>
        <w:tblPrEx>
          <w:tblLayout w:type="fixed"/>
          <w:tblCellMar>
            <w:top w:w="0" w:type="dxa"/>
            <w:left w:w="0" w:type="dxa"/>
            <w:bottom w:w="0" w:type="dxa"/>
            <w:right w:w="0" w:type="dxa"/>
          </w:tblCellMar>
        </w:tblPrEx>
        <w:trPr>
          <w:trHeight w:val="324" w:hRule="atLeast"/>
        </w:trPr>
        <w:tc>
          <w:tcPr>
            <w:tcW w:w="411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
                <w:bCs/>
                <w:sz w:val="28"/>
                <w:szCs w:val="21"/>
              </w:rPr>
            </w:pPr>
            <w:r>
              <w:rPr>
                <w:rFonts w:hint="eastAsia" w:ascii="华文楷体" w:hAnsi="华文楷体" w:eastAsia="华文楷体"/>
                <w:b/>
                <w:sz w:val="28"/>
                <w:szCs w:val="21"/>
              </w:rPr>
              <w:t>保障项目</w:t>
            </w:r>
          </w:p>
        </w:tc>
        <w:tc>
          <w:tcPr>
            <w:tcW w:w="14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
                <w:bCs/>
                <w:sz w:val="28"/>
                <w:szCs w:val="21"/>
              </w:rPr>
            </w:pPr>
            <w:r>
              <w:rPr>
                <w:rFonts w:hint="eastAsia" w:ascii="华文楷体" w:hAnsi="华文楷体" w:eastAsia="华文楷体"/>
                <w:b/>
                <w:bCs/>
                <w:sz w:val="28"/>
              </w:rPr>
              <w:t>保险金额</w:t>
            </w:r>
          </w:p>
        </w:tc>
        <w:tc>
          <w:tcPr>
            <w:tcW w:w="184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
                <w:bCs/>
                <w:sz w:val="28"/>
                <w:szCs w:val="21"/>
              </w:rPr>
            </w:pPr>
            <w:r>
              <w:rPr>
                <w:rFonts w:hint="eastAsia" w:ascii="华文楷体" w:hAnsi="华文楷体" w:eastAsia="华文楷体"/>
                <w:b/>
                <w:sz w:val="28"/>
              </w:rPr>
              <w:t>保费</w:t>
            </w:r>
          </w:p>
        </w:tc>
        <w:tc>
          <w:tcPr>
            <w:tcW w:w="1418" w:type="dxa"/>
            <w:tcBorders>
              <w:top w:val="single" w:color="auto" w:sz="4" w:space="0"/>
              <w:bottom w:val="single" w:color="auto" w:sz="4" w:space="0"/>
              <w:right w:val="single" w:color="auto" w:sz="4" w:space="0"/>
            </w:tcBorders>
            <w:shd w:val="clear" w:color="auto" w:fill="auto"/>
          </w:tcPr>
          <w:p>
            <w:pPr>
              <w:widowControl/>
              <w:snapToGrid w:val="0"/>
              <w:jc w:val="center"/>
              <w:rPr>
                <w:rFonts w:ascii="华文楷体" w:hAnsi="华文楷体" w:eastAsia="华文楷体"/>
                <w:b/>
                <w:sz w:val="28"/>
                <w:szCs w:val="20"/>
              </w:rPr>
            </w:pPr>
            <w:r>
              <w:rPr>
                <w:rFonts w:hint="eastAsia" w:ascii="华文楷体" w:hAnsi="华文楷体" w:eastAsia="华文楷体"/>
                <w:b/>
                <w:sz w:val="28"/>
              </w:rPr>
              <w:t>备注</w:t>
            </w:r>
          </w:p>
        </w:tc>
      </w:tr>
      <w:tr>
        <w:tblPrEx>
          <w:tblLayout w:type="fixed"/>
          <w:tblCellMar>
            <w:top w:w="0" w:type="dxa"/>
            <w:left w:w="0" w:type="dxa"/>
            <w:bottom w:w="0" w:type="dxa"/>
            <w:right w:w="0" w:type="dxa"/>
          </w:tblCellMar>
        </w:tblPrEx>
        <w:trPr>
          <w:cantSplit/>
          <w:trHeight w:val="354" w:hRule="atLeast"/>
        </w:trPr>
        <w:tc>
          <w:tcPr>
            <w:tcW w:w="41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Cs/>
                <w:sz w:val="24"/>
                <w:szCs w:val="21"/>
              </w:rPr>
            </w:pPr>
            <w:r>
              <w:rPr>
                <w:rFonts w:ascii="华文楷体" w:hAnsi="华文楷体" w:eastAsia="华文楷体"/>
                <w:sz w:val="24"/>
                <w:szCs w:val="21"/>
              </w:rPr>
              <w:t>平安安康乳腺癌疾病保险</w:t>
            </w:r>
          </w:p>
        </w:tc>
        <w:tc>
          <w:tcPr>
            <w:tcW w:w="1418" w:type="dxa"/>
            <w:tcBorders>
              <w:top w:val="nil"/>
              <w:left w:val="nil"/>
              <w:bottom w:val="single" w:color="auto" w:sz="4"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Cs/>
                <w:sz w:val="28"/>
                <w:szCs w:val="21"/>
              </w:rPr>
            </w:pPr>
            <w:r>
              <w:rPr>
                <w:rFonts w:hint="eastAsia" w:ascii="华文楷体" w:hAnsi="华文楷体" w:eastAsia="华文楷体"/>
                <w:bCs/>
                <w:sz w:val="28"/>
              </w:rPr>
              <w:t>8万元</w:t>
            </w:r>
          </w:p>
        </w:tc>
        <w:tc>
          <w:tcPr>
            <w:tcW w:w="1842" w:type="dxa"/>
            <w:vMerge w:val="restart"/>
            <w:tcBorders>
              <w:top w:val="single" w:color="auto" w:sz="4" w:space="0"/>
              <w:right w:val="single" w:color="auto" w:sz="4" w:space="0"/>
            </w:tcBorders>
            <w:shd w:val="clear" w:color="auto" w:fill="auto"/>
            <w:vAlign w:val="center"/>
          </w:tcPr>
          <w:p>
            <w:pPr>
              <w:widowControl/>
              <w:snapToGrid w:val="0"/>
              <w:jc w:val="center"/>
              <w:rPr>
                <w:rFonts w:ascii="华文楷体" w:hAnsi="华文楷体" w:eastAsia="华文楷体"/>
                <w:sz w:val="28"/>
                <w:szCs w:val="20"/>
              </w:rPr>
            </w:pPr>
            <w:r>
              <w:rPr>
                <w:rFonts w:hint="eastAsia" w:ascii="华文楷体" w:hAnsi="华文楷体" w:eastAsia="华文楷体"/>
                <w:sz w:val="28"/>
              </w:rPr>
              <w:t>200元/份/年</w:t>
            </w:r>
          </w:p>
        </w:tc>
        <w:tc>
          <w:tcPr>
            <w:tcW w:w="1418" w:type="dxa"/>
            <w:vMerge w:val="restart"/>
            <w:tcBorders>
              <w:top w:val="single" w:color="auto" w:sz="4" w:space="0"/>
              <w:right w:val="single" w:color="auto" w:sz="4" w:space="0"/>
            </w:tcBorders>
            <w:shd w:val="clear" w:color="auto" w:fill="auto"/>
            <w:vAlign w:val="center"/>
          </w:tcPr>
          <w:p>
            <w:pPr>
              <w:widowControl/>
              <w:snapToGrid w:val="0"/>
              <w:jc w:val="center"/>
              <w:rPr>
                <w:rFonts w:ascii="华文楷体" w:hAnsi="华文楷体" w:eastAsia="华文楷体"/>
                <w:sz w:val="28"/>
              </w:rPr>
            </w:pPr>
            <w:r>
              <w:rPr>
                <w:rFonts w:hint="eastAsia" w:ascii="华文楷体" w:hAnsi="华文楷体" w:eastAsia="华文楷体"/>
                <w:sz w:val="28"/>
              </w:rPr>
              <w:t>每人限购</w:t>
            </w:r>
          </w:p>
          <w:p>
            <w:pPr>
              <w:widowControl/>
              <w:snapToGrid w:val="0"/>
              <w:jc w:val="center"/>
              <w:rPr>
                <w:rFonts w:ascii="华文楷体" w:hAnsi="华文楷体" w:eastAsia="华文楷体"/>
                <w:sz w:val="28"/>
                <w:szCs w:val="20"/>
              </w:rPr>
            </w:pPr>
            <w:r>
              <w:rPr>
                <w:rFonts w:hint="eastAsia" w:ascii="华文楷体" w:hAnsi="华文楷体" w:eastAsia="华文楷体"/>
                <w:sz w:val="28"/>
              </w:rPr>
              <w:t>一份</w:t>
            </w:r>
          </w:p>
        </w:tc>
      </w:tr>
      <w:tr>
        <w:tblPrEx>
          <w:tblLayout w:type="fixed"/>
          <w:tblCellMar>
            <w:top w:w="0" w:type="dxa"/>
            <w:left w:w="0" w:type="dxa"/>
            <w:bottom w:w="0" w:type="dxa"/>
            <w:right w:w="0" w:type="dxa"/>
          </w:tblCellMar>
        </w:tblPrEx>
        <w:trPr>
          <w:cantSplit/>
          <w:trHeight w:val="54" w:hRule="atLeast"/>
        </w:trPr>
        <w:tc>
          <w:tcPr>
            <w:tcW w:w="41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Cs/>
                <w:sz w:val="24"/>
                <w:szCs w:val="21"/>
              </w:rPr>
            </w:pPr>
            <w:r>
              <w:rPr>
                <w:rFonts w:ascii="华文楷体" w:hAnsi="华文楷体" w:eastAsia="华文楷体"/>
                <w:sz w:val="24"/>
                <w:szCs w:val="21"/>
              </w:rPr>
              <w:t>平安安康其它妇科癌保险</w:t>
            </w:r>
          </w:p>
        </w:tc>
        <w:tc>
          <w:tcPr>
            <w:tcW w:w="1418" w:type="dxa"/>
            <w:tcBorders>
              <w:top w:val="nil"/>
              <w:left w:val="nil"/>
              <w:bottom w:val="single" w:color="auto" w:sz="4"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Cs/>
                <w:sz w:val="28"/>
                <w:szCs w:val="21"/>
              </w:rPr>
            </w:pPr>
            <w:r>
              <w:rPr>
                <w:rFonts w:hint="eastAsia" w:ascii="华文楷体" w:hAnsi="华文楷体" w:eastAsia="华文楷体"/>
                <w:bCs/>
                <w:sz w:val="28"/>
              </w:rPr>
              <w:t>5万元</w:t>
            </w:r>
          </w:p>
        </w:tc>
        <w:tc>
          <w:tcPr>
            <w:tcW w:w="1842" w:type="dxa"/>
            <w:vMerge w:val="continue"/>
            <w:tcBorders>
              <w:right w:val="single" w:color="auto" w:sz="4" w:space="0"/>
            </w:tcBorders>
            <w:shd w:val="clear" w:color="auto" w:fill="auto"/>
          </w:tcPr>
          <w:p>
            <w:pPr>
              <w:widowControl/>
              <w:snapToGrid w:val="0"/>
              <w:jc w:val="center"/>
              <w:rPr>
                <w:rFonts w:ascii="华文楷体" w:hAnsi="华文楷体" w:eastAsia="华文楷体"/>
                <w:sz w:val="22"/>
                <w:szCs w:val="20"/>
              </w:rPr>
            </w:pPr>
          </w:p>
        </w:tc>
        <w:tc>
          <w:tcPr>
            <w:tcW w:w="1418" w:type="dxa"/>
            <w:vMerge w:val="continue"/>
            <w:tcBorders>
              <w:right w:val="single" w:color="auto" w:sz="4" w:space="0"/>
            </w:tcBorders>
            <w:shd w:val="clear" w:color="auto" w:fill="auto"/>
          </w:tcPr>
          <w:p>
            <w:pPr>
              <w:widowControl/>
              <w:snapToGrid w:val="0"/>
              <w:jc w:val="center"/>
              <w:rPr>
                <w:rFonts w:ascii="华文楷体" w:hAnsi="华文楷体" w:eastAsia="华文楷体"/>
                <w:sz w:val="22"/>
                <w:szCs w:val="20"/>
              </w:rPr>
            </w:pPr>
          </w:p>
        </w:tc>
      </w:tr>
      <w:tr>
        <w:tblPrEx>
          <w:tblLayout w:type="fixed"/>
          <w:tblCellMar>
            <w:top w:w="0" w:type="dxa"/>
            <w:left w:w="0" w:type="dxa"/>
            <w:bottom w:w="0" w:type="dxa"/>
            <w:right w:w="0" w:type="dxa"/>
          </w:tblCellMar>
        </w:tblPrEx>
        <w:trPr>
          <w:cantSplit/>
          <w:trHeight w:val="92" w:hRule="atLeast"/>
        </w:trPr>
        <w:tc>
          <w:tcPr>
            <w:tcW w:w="41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sz w:val="24"/>
                <w:szCs w:val="21"/>
              </w:rPr>
            </w:pPr>
            <w:r>
              <w:rPr>
                <w:rFonts w:hint="eastAsia" w:ascii="华文楷体" w:hAnsi="华文楷体" w:eastAsia="华文楷体"/>
                <w:sz w:val="24"/>
                <w:szCs w:val="21"/>
              </w:rPr>
              <w:t>平安甲状腺癌保险</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Cs/>
                <w:sz w:val="28"/>
                <w:szCs w:val="21"/>
              </w:rPr>
            </w:pPr>
            <w:r>
              <w:rPr>
                <w:rFonts w:hint="eastAsia" w:ascii="华文楷体" w:hAnsi="华文楷体" w:eastAsia="华文楷体"/>
                <w:bCs/>
                <w:sz w:val="28"/>
              </w:rPr>
              <w:t>1.5万元</w:t>
            </w:r>
          </w:p>
        </w:tc>
        <w:tc>
          <w:tcPr>
            <w:tcW w:w="1842" w:type="dxa"/>
            <w:vMerge w:val="continue"/>
            <w:tcBorders>
              <w:right w:val="single" w:color="auto" w:sz="4" w:space="0"/>
            </w:tcBorders>
            <w:shd w:val="clear" w:color="auto" w:fill="auto"/>
          </w:tcPr>
          <w:p>
            <w:pPr>
              <w:widowControl/>
              <w:snapToGrid w:val="0"/>
              <w:jc w:val="center"/>
              <w:rPr>
                <w:rFonts w:ascii="华文楷体" w:hAnsi="华文楷体" w:eastAsia="华文楷体"/>
                <w:sz w:val="22"/>
                <w:szCs w:val="20"/>
              </w:rPr>
            </w:pPr>
          </w:p>
        </w:tc>
        <w:tc>
          <w:tcPr>
            <w:tcW w:w="1418" w:type="dxa"/>
            <w:vMerge w:val="continue"/>
            <w:tcBorders>
              <w:right w:val="single" w:color="auto" w:sz="4" w:space="0"/>
            </w:tcBorders>
            <w:shd w:val="clear" w:color="auto" w:fill="auto"/>
          </w:tcPr>
          <w:p>
            <w:pPr>
              <w:widowControl/>
              <w:snapToGrid w:val="0"/>
              <w:jc w:val="center"/>
              <w:rPr>
                <w:rFonts w:ascii="华文楷体" w:hAnsi="华文楷体" w:eastAsia="华文楷体"/>
                <w:sz w:val="22"/>
                <w:szCs w:val="20"/>
              </w:rPr>
            </w:pPr>
          </w:p>
        </w:tc>
      </w:tr>
      <w:tr>
        <w:tblPrEx>
          <w:tblLayout w:type="fixed"/>
          <w:tblCellMar>
            <w:top w:w="0" w:type="dxa"/>
            <w:left w:w="0" w:type="dxa"/>
            <w:bottom w:w="0" w:type="dxa"/>
            <w:right w:w="0" w:type="dxa"/>
          </w:tblCellMar>
        </w:tblPrEx>
        <w:trPr>
          <w:cantSplit/>
          <w:trHeight w:val="92" w:hRule="atLeast"/>
        </w:trPr>
        <w:tc>
          <w:tcPr>
            <w:tcW w:w="41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sz w:val="24"/>
                <w:szCs w:val="21"/>
              </w:rPr>
            </w:pPr>
            <w:r>
              <w:rPr>
                <w:rFonts w:hint="eastAsia" w:ascii="华文楷体" w:hAnsi="华文楷体" w:eastAsia="华文楷体"/>
                <w:sz w:val="24"/>
                <w:szCs w:val="21"/>
              </w:rPr>
              <w:t>平安安康其它癌症保险</w:t>
            </w:r>
          </w:p>
          <w:p>
            <w:pPr>
              <w:snapToGrid w:val="0"/>
              <w:jc w:val="center"/>
              <w:rPr>
                <w:rFonts w:ascii="华文楷体" w:hAnsi="华文楷体" w:eastAsia="华文楷体"/>
                <w:b/>
                <w:sz w:val="24"/>
                <w:szCs w:val="21"/>
              </w:rPr>
            </w:pPr>
            <w:r>
              <w:rPr>
                <w:rFonts w:hint="eastAsia" w:ascii="华文楷体" w:hAnsi="华文楷体" w:eastAsia="华文楷体"/>
                <w:b/>
                <w:sz w:val="24"/>
                <w:szCs w:val="21"/>
              </w:rPr>
              <w:t>（除前三项以外的其他癌症）</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bCs/>
                <w:sz w:val="28"/>
              </w:rPr>
            </w:pPr>
            <w:r>
              <w:rPr>
                <w:rFonts w:hint="eastAsia" w:ascii="华文楷体" w:hAnsi="华文楷体" w:eastAsia="华文楷体"/>
                <w:bCs/>
                <w:sz w:val="28"/>
              </w:rPr>
              <w:t>3万元</w:t>
            </w:r>
          </w:p>
        </w:tc>
        <w:tc>
          <w:tcPr>
            <w:tcW w:w="1842" w:type="dxa"/>
            <w:vMerge w:val="continue"/>
            <w:tcBorders>
              <w:right w:val="single" w:color="auto" w:sz="4" w:space="0"/>
            </w:tcBorders>
            <w:shd w:val="clear" w:color="auto" w:fill="auto"/>
          </w:tcPr>
          <w:p>
            <w:pPr>
              <w:widowControl/>
              <w:snapToGrid w:val="0"/>
              <w:jc w:val="center"/>
              <w:rPr>
                <w:rFonts w:ascii="华文楷体" w:hAnsi="华文楷体" w:eastAsia="华文楷体"/>
                <w:sz w:val="22"/>
                <w:szCs w:val="20"/>
              </w:rPr>
            </w:pPr>
          </w:p>
        </w:tc>
        <w:tc>
          <w:tcPr>
            <w:tcW w:w="1418" w:type="dxa"/>
            <w:vMerge w:val="continue"/>
            <w:tcBorders>
              <w:right w:val="single" w:color="auto" w:sz="4" w:space="0"/>
            </w:tcBorders>
            <w:shd w:val="clear" w:color="auto" w:fill="auto"/>
          </w:tcPr>
          <w:p>
            <w:pPr>
              <w:widowControl/>
              <w:snapToGrid w:val="0"/>
              <w:jc w:val="center"/>
              <w:rPr>
                <w:rFonts w:ascii="华文楷体" w:hAnsi="华文楷体" w:eastAsia="华文楷体"/>
                <w:sz w:val="22"/>
                <w:szCs w:val="20"/>
              </w:rPr>
            </w:pPr>
          </w:p>
        </w:tc>
      </w:tr>
      <w:tr>
        <w:tblPrEx>
          <w:tblLayout w:type="fixed"/>
          <w:tblCellMar>
            <w:top w:w="0" w:type="dxa"/>
            <w:left w:w="0" w:type="dxa"/>
            <w:bottom w:w="0" w:type="dxa"/>
            <w:right w:w="0" w:type="dxa"/>
          </w:tblCellMar>
        </w:tblPrEx>
        <w:trPr>
          <w:cantSplit/>
          <w:trHeight w:val="54" w:hRule="atLeast"/>
        </w:trPr>
        <w:tc>
          <w:tcPr>
            <w:tcW w:w="41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Cs/>
                <w:sz w:val="24"/>
                <w:szCs w:val="21"/>
              </w:rPr>
            </w:pPr>
            <w:r>
              <w:rPr>
                <w:rFonts w:hint="eastAsia" w:ascii="华文楷体" w:hAnsi="华文楷体" w:eastAsia="华文楷体"/>
                <w:bCs/>
                <w:sz w:val="24"/>
              </w:rPr>
              <w:t>原位癌</w:t>
            </w:r>
            <w:r>
              <w:rPr>
                <w:rFonts w:hint="eastAsia" w:ascii="华文楷体" w:hAnsi="华文楷体" w:eastAsia="华文楷体"/>
                <w:b/>
                <w:bCs/>
                <w:sz w:val="24"/>
              </w:rPr>
              <w:t>（与以上四项不得累计赔付）</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Cs/>
                <w:sz w:val="28"/>
                <w:szCs w:val="21"/>
              </w:rPr>
            </w:pPr>
            <w:r>
              <w:rPr>
                <w:rFonts w:hint="eastAsia" w:ascii="华文楷体" w:hAnsi="华文楷体" w:eastAsia="华文楷体"/>
                <w:bCs/>
                <w:sz w:val="28"/>
              </w:rPr>
              <w:t>0.5万元</w:t>
            </w:r>
          </w:p>
        </w:tc>
        <w:tc>
          <w:tcPr>
            <w:tcW w:w="1842" w:type="dxa"/>
            <w:vMerge w:val="continue"/>
            <w:tcBorders>
              <w:bottom w:val="single" w:color="auto" w:sz="4" w:space="0"/>
              <w:right w:val="single" w:color="auto" w:sz="4" w:space="0"/>
            </w:tcBorders>
            <w:shd w:val="clear" w:color="auto" w:fill="auto"/>
          </w:tcPr>
          <w:p>
            <w:pPr>
              <w:widowControl/>
              <w:snapToGrid w:val="0"/>
              <w:jc w:val="center"/>
              <w:rPr>
                <w:rFonts w:ascii="华文楷体" w:hAnsi="华文楷体" w:eastAsia="华文楷体"/>
                <w:sz w:val="22"/>
                <w:szCs w:val="20"/>
              </w:rPr>
            </w:pPr>
          </w:p>
        </w:tc>
        <w:tc>
          <w:tcPr>
            <w:tcW w:w="1418" w:type="dxa"/>
            <w:vMerge w:val="continue"/>
            <w:tcBorders>
              <w:bottom w:val="single" w:color="auto" w:sz="4" w:space="0"/>
              <w:right w:val="single" w:color="auto" w:sz="4" w:space="0"/>
            </w:tcBorders>
            <w:shd w:val="clear" w:color="auto" w:fill="auto"/>
          </w:tcPr>
          <w:p>
            <w:pPr>
              <w:widowControl/>
              <w:snapToGrid w:val="0"/>
              <w:jc w:val="center"/>
              <w:rPr>
                <w:rFonts w:ascii="华文楷体" w:hAnsi="华文楷体" w:eastAsia="华文楷体"/>
                <w:sz w:val="22"/>
                <w:szCs w:val="20"/>
              </w:rPr>
            </w:pPr>
          </w:p>
        </w:tc>
      </w:tr>
    </w:tbl>
    <w:p>
      <w:pPr>
        <w:ind w:left="480"/>
        <w:rPr>
          <w:rFonts w:ascii="华文楷体" w:hAnsi="华文楷体" w:eastAsia="华文楷体"/>
          <w:b/>
          <w:sz w:val="28"/>
          <w:szCs w:val="21"/>
        </w:rPr>
      </w:pPr>
      <w:r>
        <w:rPr>
          <w:rFonts w:hint="eastAsia" w:ascii="华文楷体" w:hAnsi="华文楷体" w:eastAsia="华文楷体"/>
          <w:b/>
          <w:sz w:val="28"/>
          <w:szCs w:val="21"/>
        </w:rPr>
        <w:t xml:space="preserve">  </w:t>
      </w:r>
      <w:r>
        <w:rPr>
          <w:rFonts w:hint="eastAsia" w:ascii="华文楷体" w:hAnsi="华文楷体" w:eastAsia="华文楷体"/>
          <w:b/>
          <w:sz w:val="28"/>
          <w:szCs w:val="32"/>
        </w:rPr>
        <w:t>附加男性安康</w:t>
      </w:r>
    </w:p>
    <w:tbl>
      <w:tblPr>
        <w:tblStyle w:val="24"/>
        <w:tblW w:w="8789" w:type="dxa"/>
        <w:tblInd w:w="214" w:type="dxa"/>
        <w:tblLayout w:type="fixed"/>
        <w:tblCellMar>
          <w:top w:w="0" w:type="dxa"/>
          <w:left w:w="0" w:type="dxa"/>
          <w:bottom w:w="0" w:type="dxa"/>
          <w:right w:w="0" w:type="dxa"/>
        </w:tblCellMar>
      </w:tblPr>
      <w:tblGrid>
        <w:gridCol w:w="4111"/>
        <w:gridCol w:w="1418"/>
        <w:gridCol w:w="1842"/>
        <w:gridCol w:w="1418"/>
      </w:tblGrid>
      <w:tr>
        <w:tblPrEx>
          <w:tblLayout w:type="fixed"/>
          <w:tblCellMar>
            <w:top w:w="0" w:type="dxa"/>
            <w:left w:w="0" w:type="dxa"/>
            <w:bottom w:w="0" w:type="dxa"/>
            <w:right w:w="0" w:type="dxa"/>
          </w:tblCellMar>
        </w:tblPrEx>
        <w:trPr>
          <w:trHeight w:val="324" w:hRule="atLeast"/>
        </w:trPr>
        <w:tc>
          <w:tcPr>
            <w:tcW w:w="411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
                <w:bCs/>
                <w:sz w:val="24"/>
                <w:szCs w:val="21"/>
              </w:rPr>
            </w:pPr>
            <w:r>
              <w:rPr>
                <w:rFonts w:hint="eastAsia" w:ascii="华文楷体" w:hAnsi="华文楷体" w:eastAsia="华文楷体"/>
                <w:b/>
                <w:bCs/>
                <w:sz w:val="24"/>
              </w:rPr>
              <w:t>保障项目</w:t>
            </w:r>
          </w:p>
        </w:tc>
        <w:tc>
          <w:tcPr>
            <w:tcW w:w="1418"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
                <w:bCs/>
                <w:sz w:val="24"/>
                <w:szCs w:val="21"/>
              </w:rPr>
            </w:pPr>
            <w:r>
              <w:rPr>
                <w:rFonts w:hint="eastAsia" w:ascii="华文楷体" w:hAnsi="华文楷体" w:eastAsia="华文楷体"/>
                <w:b/>
                <w:bCs/>
                <w:sz w:val="24"/>
              </w:rPr>
              <w:t>保险金额</w:t>
            </w:r>
          </w:p>
        </w:tc>
        <w:tc>
          <w:tcPr>
            <w:tcW w:w="1842" w:type="dxa"/>
            <w:tcBorders>
              <w:top w:val="single" w:color="auto" w:sz="8" w:space="0"/>
              <w:left w:val="nil"/>
              <w:bottom w:val="single" w:color="auto" w:sz="4" w:space="0"/>
              <w:right w:val="single" w:color="auto" w:sz="8" w:space="0"/>
            </w:tcBorders>
            <w:vAlign w:val="center"/>
          </w:tcPr>
          <w:p>
            <w:pPr>
              <w:snapToGrid w:val="0"/>
              <w:jc w:val="center"/>
              <w:rPr>
                <w:rFonts w:ascii="华文楷体" w:hAnsi="华文楷体" w:eastAsia="华文楷体" w:cs="宋体"/>
                <w:b/>
                <w:bCs/>
                <w:sz w:val="24"/>
                <w:szCs w:val="21"/>
              </w:rPr>
            </w:pPr>
            <w:r>
              <w:rPr>
                <w:rFonts w:hint="eastAsia" w:ascii="华文楷体" w:hAnsi="华文楷体" w:eastAsia="华文楷体"/>
                <w:b/>
                <w:bCs/>
                <w:sz w:val="24"/>
              </w:rPr>
              <w:t>保费</w:t>
            </w:r>
          </w:p>
        </w:tc>
        <w:tc>
          <w:tcPr>
            <w:tcW w:w="1418" w:type="dxa"/>
            <w:tcBorders>
              <w:top w:val="single" w:color="auto" w:sz="4" w:space="0"/>
              <w:bottom w:val="single" w:color="auto" w:sz="4" w:space="0"/>
              <w:right w:val="single" w:color="auto" w:sz="4" w:space="0"/>
            </w:tcBorders>
            <w:shd w:val="clear" w:color="auto" w:fill="auto"/>
          </w:tcPr>
          <w:p>
            <w:pPr>
              <w:widowControl/>
              <w:snapToGrid w:val="0"/>
              <w:jc w:val="center"/>
              <w:rPr>
                <w:rFonts w:ascii="华文楷体" w:hAnsi="华文楷体" w:eastAsia="华文楷体"/>
                <w:b/>
                <w:sz w:val="24"/>
                <w:szCs w:val="20"/>
              </w:rPr>
            </w:pPr>
            <w:r>
              <w:rPr>
                <w:rFonts w:hint="eastAsia" w:ascii="华文楷体" w:hAnsi="华文楷体" w:eastAsia="华文楷体"/>
                <w:b/>
                <w:sz w:val="24"/>
              </w:rPr>
              <w:t>备注</w:t>
            </w:r>
          </w:p>
        </w:tc>
      </w:tr>
      <w:tr>
        <w:tblPrEx>
          <w:tblLayout w:type="fixed"/>
          <w:tblCellMar>
            <w:top w:w="0" w:type="dxa"/>
            <w:left w:w="0" w:type="dxa"/>
            <w:bottom w:w="0" w:type="dxa"/>
            <w:right w:w="0" w:type="dxa"/>
          </w:tblCellMar>
        </w:tblPrEx>
        <w:trPr>
          <w:cantSplit/>
          <w:trHeight w:val="388" w:hRule="atLeast"/>
        </w:trPr>
        <w:tc>
          <w:tcPr>
            <w:tcW w:w="4111"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Cs/>
                <w:sz w:val="24"/>
                <w:szCs w:val="21"/>
              </w:rPr>
            </w:pPr>
            <w:r>
              <w:rPr>
                <w:rFonts w:ascii="华文楷体" w:hAnsi="华文楷体" w:eastAsia="华文楷体"/>
                <w:sz w:val="24"/>
                <w:szCs w:val="21"/>
              </w:rPr>
              <w:t>平安</w:t>
            </w:r>
            <w:r>
              <w:rPr>
                <w:rFonts w:hint="eastAsia" w:ascii="华文楷体" w:hAnsi="华文楷体" w:eastAsia="华文楷体"/>
                <w:sz w:val="24"/>
                <w:szCs w:val="21"/>
              </w:rPr>
              <w:t>男性</w:t>
            </w:r>
            <w:r>
              <w:rPr>
                <w:rFonts w:ascii="华文楷体" w:hAnsi="华文楷体" w:eastAsia="华文楷体"/>
                <w:sz w:val="24"/>
                <w:szCs w:val="21"/>
              </w:rPr>
              <w:t>安康</w:t>
            </w:r>
            <w:r>
              <w:rPr>
                <w:rFonts w:hint="eastAsia" w:ascii="华文楷体" w:hAnsi="华文楷体" w:eastAsia="华文楷体"/>
                <w:sz w:val="24"/>
                <w:szCs w:val="21"/>
              </w:rPr>
              <w:t>男性</w:t>
            </w:r>
            <w:r>
              <w:rPr>
                <w:rFonts w:ascii="华文楷体" w:hAnsi="华文楷体" w:eastAsia="华文楷体"/>
                <w:sz w:val="24"/>
                <w:szCs w:val="21"/>
              </w:rPr>
              <w:t>癌</w:t>
            </w:r>
            <w:r>
              <w:rPr>
                <w:rFonts w:hint="eastAsia" w:ascii="华文楷体" w:hAnsi="华文楷体" w:eastAsia="华文楷体"/>
                <w:sz w:val="24"/>
                <w:szCs w:val="21"/>
              </w:rPr>
              <w:t>症</w:t>
            </w:r>
            <w:r>
              <w:rPr>
                <w:rFonts w:ascii="华文楷体" w:hAnsi="华文楷体" w:eastAsia="华文楷体"/>
                <w:sz w:val="24"/>
                <w:szCs w:val="21"/>
              </w:rPr>
              <w:t>保险</w:t>
            </w:r>
          </w:p>
        </w:tc>
        <w:tc>
          <w:tcPr>
            <w:tcW w:w="1418" w:type="dxa"/>
            <w:tcBorders>
              <w:top w:val="nil"/>
              <w:left w:val="nil"/>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Cs/>
                <w:sz w:val="24"/>
                <w:szCs w:val="21"/>
              </w:rPr>
            </w:pPr>
            <w:r>
              <w:rPr>
                <w:rFonts w:hint="eastAsia" w:ascii="华文楷体" w:hAnsi="华文楷体" w:eastAsia="华文楷体"/>
                <w:bCs/>
                <w:sz w:val="24"/>
              </w:rPr>
              <w:t>8万元</w:t>
            </w:r>
          </w:p>
        </w:tc>
        <w:tc>
          <w:tcPr>
            <w:tcW w:w="1842" w:type="dxa"/>
            <w:vMerge w:val="restart"/>
            <w:tcBorders>
              <w:top w:val="single" w:color="auto" w:sz="4" w:space="0"/>
              <w:right w:val="single" w:color="auto" w:sz="4" w:space="0"/>
            </w:tcBorders>
            <w:shd w:val="clear" w:color="auto" w:fill="auto"/>
            <w:vAlign w:val="center"/>
          </w:tcPr>
          <w:p>
            <w:pPr>
              <w:widowControl/>
              <w:snapToGrid w:val="0"/>
              <w:jc w:val="center"/>
              <w:rPr>
                <w:rFonts w:ascii="华文楷体" w:hAnsi="华文楷体" w:eastAsia="华文楷体"/>
                <w:sz w:val="28"/>
              </w:rPr>
            </w:pPr>
            <w:r>
              <w:rPr>
                <w:rFonts w:hint="eastAsia" w:ascii="华文楷体" w:hAnsi="华文楷体" w:eastAsia="华文楷体"/>
                <w:sz w:val="28"/>
              </w:rPr>
              <w:t>200元/份/年</w:t>
            </w:r>
          </w:p>
        </w:tc>
        <w:tc>
          <w:tcPr>
            <w:tcW w:w="1418" w:type="dxa"/>
            <w:vMerge w:val="restart"/>
            <w:tcBorders>
              <w:top w:val="single" w:color="auto" w:sz="4" w:space="0"/>
              <w:right w:val="single" w:color="auto" w:sz="4" w:space="0"/>
            </w:tcBorders>
            <w:shd w:val="clear" w:color="auto" w:fill="auto"/>
            <w:vAlign w:val="center"/>
          </w:tcPr>
          <w:p>
            <w:pPr>
              <w:widowControl/>
              <w:snapToGrid w:val="0"/>
              <w:jc w:val="center"/>
              <w:rPr>
                <w:rFonts w:ascii="华文楷体" w:hAnsi="华文楷体" w:eastAsia="华文楷体"/>
                <w:sz w:val="28"/>
              </w:rPr>
            </w:pPr>
            <w:r>
              <w:rPr>
                <w:rFonts w:hint="eastAsia" w:ascii="华文楷体" w:hAnsi="华文楷体" w:eastAsia="华文楷体"/>
                <w:sz w:val="28"/>
              </w:rPr>
              <w:t>每人限购</w:t>
            </w:r>
          </w:p>
          <w:p>
            <w:pPr>
              <w:widowControl/>
              <w:snapToGrid w:val="0"/>
              <w:jc w:val="center"/>
              <w:rPr>
                <w:rFonts w:ascii="华文楷体" w:hAnsi="华文楷体" w:eastAsia="华文楷体"/>
                <w:sz w:val="28"/>
              </w:rPr>
            </w:pPr>
            <w:r>
              <w:rPr>
                <w:rFonts w:hint="eastAsia" w:ascii="华文楷体" w:hAnsi="华文楷体" w:eastAsia="华文楷体"/>
                <w:sz w:val="28"/>
              </w:rPr>
              <w:t>一份</w:t>
            </w:r>
          </w:p>
        </w:tc>
      </w:tr>
      <w:tr>
        <w:tblPrEx>
          <w:tblLayout w:type="fixed"/>
          <w:tblCellMar>
            <w:top w:w="0" w:type="dxa"/>
            <w:left w:w="0" w:type="dxa"/>
            <w:bottom w:w="0" w:type="dxa"/>
            <w:right w:w="0" w:type="dxa"/>
          </w:tblCellMar>
        </w:tblPrEx>
        <w:trPr>
          <w:cantSplit/>
          <w:trHeight w:val="101" w:hRule="atLeast"/>
        </w:trPr>
        <w:tc>
          <w:tcPr>
            <w:tcW w:w="4111"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Cs/>
                <w:sz w:val="24"/>
                <w:szCs w:val="21"/>
              </w:rPr>
            </w:pPr>
            <w:r>
              <w:rPr>
                <w:rFonts w:hint="eastAsia" w:ascii="华文楷体" w:hAnsi="华文楷体" w:eastAsia="华文楷体"/>
                <w:sz w:val="24"/>
                <w:szCs w:val="21"/>
              </w:rPr>
              <w:t>平安甲状腺癌保险</w:t>
            </w:r>
          </w:p>
        </w:tc>
        <w:tc>
          <w:tcPr>
            <w:tcW w:w="1418"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Cs/>
                <w:sz w:val="24"/>
                <w:szCs w:val="21"/>
              </w:rPr>
            </w:pPr>
            <w:r>
              <w:rPr>
                <w:rFonts w:hint="eastAsia" w:ascii="华文楷体" w:hAnsi="华文楷体" w:eastAsia="华文楷体"/>
                <w:bCs/>
                <w:sz w:val="24"/>
              </w:rPr>
              <w:t>1.5万元</w:t>
            </w:r>
          </w:p>
        </w:tc>
        <w:tc>
          <w:tcPr>
            <w:tcW w:w="1842" w:type="dxa"/>
            <w:vMerge w:val="continue"/>
            <w:tcBorders>
              <w:right w:val="single" w:color="auto" w:sz="4" w:space="0"/>
            </w:tcBorders>
            <w:shd w:val="clear" w:color="auto" w:fill="auto"/>
          </w:tcPr>
          <w:p>
            <w:pPr>
              <w:widowControl/>
              <w:snapToGrid w:val="0"/>
              <w:jc w:val="center"/>
              <w:rPr>
                <w:rFonts w:ascii="华文楷体" w:hAnsi="华文楷体" w:eastAsia="华文楷体"/>
                <w:sz w:val="22"/>
                <w:szCs w:val="20"/>
              </w:rPr>
            </w:pPr>
          </w:p>
        </w:tc>
        <w:tc>
          <w:tcPr>
            <w:tcW w:w="1418" w:type="dxa"/>
            <w:vMerge w:val="continue"/>
            <w:tcBorders>
              <w:right w:val="single" w:color="auto" w:sz="4" w:space="0"/>
            </w:tcBorders>
            <w:shd w:val="clear" w:color="auto" w:fill="auto"/>
          </w:tcPr>
          <w:p>
            <w:pPr>
              <w:widowControl/>
              <w:snapToGrid w:val="0"/>
              <w:jc w:val="center"/>
              <w:rPr>
                <w:rFonts w:ascii="华文楷体" w:hAnsi="华文楷体" w:eastAsia="华文楷体"/>
                <w:sz w:val="22"/>
                <w:szCs w:val="20"/>
              </w:rPr>
            </w:pPr>
          </w:p>
        </w:tc>
      </w:tr>
      <w:tr>
        <w:tblPrEx>
          <w:tblLayout w:type="fixed"/>
          <w:tblCellMar>
            <w:top w:w="0" w:type="dxa"/>
            <w:left w:w="0" w:type="dxa"/>
            <w:bottom w:w="0" w:type="dxa"/>
            <w:right w:w="0" w:type="dxa"/>
          </w:tblCellMar>
        </w:tblPrEx>
        <w:trPr>
          <w:cantSplit/>
          <w:trHeight w:val="101" w:hRule="atLeast"/>
        </w:trPr>
        <w:tc>
          <w:tcPr>
            <w:tcW w:w="4111"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sz w:val="24"/>
                <w:szCs w:val="21"/>
              </w:rPr>
            </w:pPr>
            <w:r>
              <w:rPr>
                <w:rFonts w:hint="eastAsia" w:ascii="华文楷体" w:hAnsi="华文楷体" w:eastAsia="华文楷体"/>
                <w:sz w:val="24"/>
                <w:szCs w:val="21"/>
              </w:rPr>
              <w:t>平安男性安康其它癌症保险</w:t>
            </w:r>
          </w:p>
          <w:p>
            <w:pPr>
              <w:snapToGrid w:val="0"/>
              <w:jc w:val="center"/>
              <w:rPr>
                <w:rFonts w:ascii="华文楷体" w:hAnsi="华文楷体" w:eastAsia="华文楷体"/>
                <w:b/>
                <w:sz w:val="24"/>
                <w:szCs w:val="21"/>
              </w:rPr>
            </w:pPr>
            <w:r>
              <w:rPr>
                <w:rFonts w:hint="eastAsia" w:ascii="华文楷体" w:hAnsi="华文楷体" w:eastAsia="华文楷体"/>
                <w:b/>
                <w:sz w:val="24"/>
                <w:szCs w:val="21"/>
              </w:rPr>
              <w:t>(除前两项以外的其他癌症)</w:t>
            </w:r>
          </w:p>
        </w:tc>
        <w:tc>
          <w:tcPr>
            <w:tcW w:w="1418"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bCs/>
                <w:sz w:val="24"/>
              </w:rPr>
            </w:pPr>
            <w:r>
              <w:rPr>
                <w:rFonts w:hint="eastAsia" w:ascii="华文楷体" w:hAnsi="华文楷体" w:eastAsia="华文楷体"/>
                <w:bCs/>
                <w:sz w:val="24"/>
              </w:rPr>
              <w:t>5万元</w:t>
            </w:r>
          </w:p>
        </w:tc>
        <w:tc>
          <w:tcPr>
            <w:tcW w:w="1842" w:type="dxa"/>
            <w:vMerge w:val="continue"/>
            <w:tcBorders>
              <w:right w:val="single" w:color="auto" w:sz="4" w:space="0"/>
            </w:tcBorders>
            <w:shd w:val="clear" w:color="auto" w:fill="auto"/>
          </w:tcPr>
          <w:p>
            <w:pPr>
              <w:widowControl/>
              <w:snapToGrid w:val="0"/>
              <w:jc w:val="center"/>
              <w:rPr>
                <w:rFonts w:ascii="华文楷体" w:hAnsi="华文楷体" w:eastAsia="华文楷体"/>
                <w:sz w:val="22"/>
                <w:szCs w:val="20"/>
              </w:rPr>
            </w:pPr>
          </w:p>
        </w:tc>
        <w:tc>
          <w:tcPr>
            <w:tcW w:w="1418" w:type="dxa"/>
            <w:vMerge w:val="continue"/>
            <w:tcBorders>
              <w:right w:val="single" w:color="auto" w:sz="4" w:space="0"/>
            </w:tcBorders>
            <w:shd w:val="clear" w:color="auto" w:fill="auto"/>
          </w:tcPr>
          <w:p>
            <w:pPr>
              <w:widowControl/>
              <w:snapToGrid w:val="0"/>
              <w:jc w:val="center"/>
              <w:rPr>
                <w:rFonts w:ascii="华文楷体" w:hAnsi="华文楷体" w:eastAsia="华文楷体"/>
                <w:sz w:val="22"/>
                <w:szCs w:val="20"/>
              </w:rPr>
            </w:pPr>
          </w:p>
        </w:tc>
      </w:tr>
      <w:tr>
        <w:tblPrEx>
          <w:tblLayout w:type="fixed"/>
          <w:tblCellMar>
            <w:top w:w="0" w:type="dxa"/>
            <w:left w:w="0" w:type="dxa"/>
            <w:bottom w:w="0" w:type="dxa"/>
            <w:right w:w="0" w:type="dxa"/>
          </w:tblCellMar>
        </w:tblPrEx>
        <w:trPr>
          <w:cantSplit/>
          <w:trHeight w:val="332" w:hRule="atLeast"/>
        </w:trPr>
        <w:tc>
          <w:tcPr>
            <w:tcW w:w="41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Cs/>
                <w:sz w:val="24"/>
                <w:szCs w:val="21"/>
              </w:rPr>
            </w:pPr>
            <w:r>
              <w:rPr>
                <w:rFonts w:hint="eastAsia" w:ascii="华文楷体" w:hAnsi="华文楷体" w:eastAsia="华文楷体"/>
                <w:bCs/>
                <w:sz w:val="24"/>
              </w:rPr>
              <w:t>原位癌</w:t>
            </w:r>
            <w:r>
              <w:rPr>
                <w:rFonts w:hint="eastAsia" w:ascii="华文楷体" w:hAnsi="华文楷体" w:eastAsia="华文楷体"/>
                <w:b/>
                <w:bCs/>
                <w:sz w:val="24"/>
              </w:rPr>
              <w:t>（与以上三项不得累计赔付）</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Cs/>
                <w:sz w:val="24"/>
                <w:szCs w:val="21"/>
              </w:rPr>
            </w:pPr>
            <w:r>
              <w:rPr>
                <w:rFonts w:hint="eastAsia" w:ascii="华文楷体" w:hAnsi="华文楷体" w:eastAsia="华文楷体"/>
                <w:bCs/>
                <w:sz w:val="24"/>
              </w:rPr>
              <w:t>0.5万元</w:t>
            </w:r>
          </w:p>
        </w:tc>
        <w:tc>
          <w:tcPr>
            <w:tcW w:w="1842" w:type="dxa"/>
            <w:vMerge w:val="continue"/>
            <w:tcBorders>
              <w:bottom w:val="single" w:color="auto" w:sz="4" w:space="0"/>
              <w:right w:val="single" w:color="auto" w:sz="4" w:space="0"/>
            </w:tcBorders>
            <w:shd w:val="clear" w:color="auto" w:fill="auto"/>
          </w:tcPr>
          <w:p>
            <w:pPr>
              <w:widowControl/>
              <w:snapToGrid w:val="0"/>
              <w:jc w:val="center"/>
              <w:rPr>
                <w:rFonts w:ascii="华文楷体" w:hAnsi="华文楷体" w:eastAsia="华文楷体"/>
                <w:sz w:val="22"/>
                <w:szCs w:val="20"/>
              </w:rPr>
            </w:pPr>
          </w:p>
        </w:tc>
        <w:tc>
          <w:tcPr>
            <w:tcW w:w="1418" w:type="dxa"/>
            <w:vMerge w:val="continue"/>
            <w:tcBorders>
              <w:bottom w:val="single" w:color="auto" w:sz="4" w:space="0"/>
              <w:right w:val="single" w:color="auto" w:sz="4" w:space="0"/>
            </w:tcBorders>
            <w:shd w:val="clear" w:color="auto" w:fill="auto"/>
          </w:tcPr>
          <w:p>
            <w:pPr>
              <w:widowControl/>
              <w:snapToGrid w:val="0"/>
              <w:jc w:val="center"/>
              <w:rPr>
                <w:rFonts w:ascii="华文楷体" w:hAnsi="华文楷体" w:eastAsia="华文楷体"/>
                <w:sz w:val="22"/>
                <w:szCs w:val="20"/>
              </w:rPr>
            </w:pPr>
          </w:p>
        </w:tc>
      </w:tr>
    </w:tbl>
    <w:p>
      <w:pPr>
        <w:ind w:left="480"/>
        <w:rPr>
          <w:rFonts w:ascii="华文楷体" w:hAnsi="华文楷体" w:eastAsia="华文楷体"/>
          <w:b/>
          <w:color w:val="FF0000"/>
          <w:sz w:val="28"/>
          <w:szCs w:val="21"/>
        </w:rPr>
      </w:pPr>
      <w:r>
        <w:rPr>
          <w:rFonts w:hint="eastAsia" w:ascii="华文楷体" w:hAnsi="华文楷体" w:eastAsia="华文楷体"/>
          <w:b/>
          <w:color w:val="FF0000"/>
          <w:sz w:val="28"/>
          <w:szCs w:val="21"/>
        </w:rPr>
        <w:t>备注： 63至70周岁人员保额减半。</w:t>
      </w:r>
    </w:p>
    <w:p>
      <w:pPr>
        <w:ind w:firstLine="640" w:firstLineChars="200"/>
        <w:rPr>
          <w:rFonts w:ascii="华文楷体" w:hAnsi="华文楷体" w:eastAsia="华文楷体"/>
          <w:sz w:val="32"/>
          <w:szCs w:val="32"/>
        </w:rPr>
      </w:pPr>
      <w:r>
        <w:rPr>
          <w:rFonts w:hint="eastAsia" w:ascii="华文楷体" w:hAnsi="华文楷体" w:eastAsia="华文楷体"/>
          <w:sz w:val="32"/>
          <w:szCs w:val="32"/>
        </w:rPr>
        <w:t>二、每家基层参保单位建议总体选择一种方案进行投保，尽量不要多样选择。</w:t>
      </w:r>
    </w:p>
    <w:p>
      <w:pPr>
        <w:autoSpaceDE w:val="0"/>
        <w:autoSpaceDN w:val="0"/>
        <w:adjustRightInd w:val="0"/>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三、参保人如第一年不出险，则保险责任从第二年起以续保的方式继续有效。</w:t>
      </w:r>
    </w:p>
    <w:p>
      <w:pPr>
        <w:autoSpaceDE w:val="0"/>
        <w:autoSpaceDN w:val="0"/>
        <w:adjustRightInd w:val="0"/>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四、参保人出险办理理赔手续后，保险责任终止。</w:t>
      </w:r>
    </w:p>
    <w:p>
      <w:pPr>
        <w:autoSpaceDE w:val="0"/>
        <w:autoSpaceDN w:val="0"/>
        <w:adjustRightInd w:val="0"/>
        <w:spacing w:line="360" w:lineRule="auto"/>
        <w:ind w:firstLine="628" w:firstLineChars="196"/>
        <w:rPr>
          <w:rFonts w:ascii="华文楷体" w:hAnsi="华文楷体" w:eastAsia="华文楷体"/>
          <w:b/>
          <w:sz w:val="32"/>
          <w:szCs w:val="32"/>
        </w:rPr>
      </w:pPr>
    </w:p>
    <w:p>
      <w:pPr>
        <w:autoSpaceDE w:val="0"/>
        <w:autoSpaceDN w:val="0"/>
        <w:adjustRightInd w:val="0"/>
        <w:spacing w:line="360" w:lineRule="auto"/>
        <w:ind w:firstLine="628" w:firstLineChars="196"/>
        <w:rPr>
          <w:rFonts w:ascii="华文楷体" w:hAnsi="华文楷体" w:eastAsia="华文楷体"/>
          <w:b/>
          <w:sz w:val="32"/>
          <w:szCs w:val="32"/>
        </w:rPr>
      </w:pPr>
      <w:r>
        <w:rPr>
          <w:rFonts w:hint="eastAsia" w:ascii="华文楷体" w:hAnsi="华文楷体" w:eastAsia="华文楷体"/>
          <w:b/>
          <w:sz w:val="32"/>
          <w:szCs w:val="32"/>
        </w:rPr>
        <w:t>第七条   投保份数及参保人管理</w:t>
      </w:r>
    </w:p>
    <w:p>
      <w:pPr>
        <w:pStyle w:val="11"/>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一、标准方案每位参保人投保本保险时，最高投保限额为两份；可选方案每位参保人在投保本保险时，只能投保一份。具体投保份数由参保人在限额内自定。</w:t>
      </w:r>
    </w:p>
    <w:p>
      <w:pPr>
        <w:pStyle w:val="11"/>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二、为了便于管理，参保单位工会要根据参保人的投保份数分类造册，分类管理。经保险公司确认盖章后的被保险人清单，即为确认保险关系的有效依据。</w:t>
      </w:r>
    </w:p>
    <w:p>
      <w:pPr>
        <w:pStyle w:val="11"/>
        <w:spacing w:line="360" w:lineRule="auto"/>
        <w:ind w:firstLine="628" w:firstLineChars="196"/>
        <w:rPr>
          <w:rFonts w:ascii="华文楷体" w:hAnsi="华文楷体" w:eastAsia="华文楷体"/>
          <w:b/>
          <w:sz w:val="32"/>
          <w:szCs w:val="32"/>
        </w:rPr>
      </w:pPr>
    </w:p>
    <w:p>
      <w:pPr>
        <w:pStyle w:val="11"/>
        <w:spacing w:line="360" w:lineRule="auto"/>
        <w:ind w:firstLine="628" w:firstLineChars="196"/>
        <w:rPr>
          <w:rFonts w:ascii="华文楷体" w:hAnsi="华文楷体" w:eastAsia="华文楷体"/>
          <w:b/>
          <w:sz w:val="32"/>
          <w:szCs w:val="32"/>
        </w:rPr>
      </w:pPr>
      <w:r>
        <w:rPr>
          <w:rFonts w:hint="eastAsia" w:ascii="华文楷体" w:hAnsi="华文楷体" w:eastAsia="华文楷体"/>
          <w:b/>
          <w:sz w:val="32"/>
          <w:szCs w:val="32"/>
        </w:rPr>
        <w:t>第八条   如实告知</w:t>
      </w:r>
    </w:p>
    <w:p>
      <w:pPr>
        <w:autoSpaceDE w:val="0"/>
        <w:autoSpaceDN w:val="0"/>
        <w:adjustRightInd w:val="0"/>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一、参保前保险公司须向参保人说明保险条款，特别是责任免除条款。</w:t>
      </w:r>
    </w:p>
    <w:p>
      <w:pPr>
        <w:autoSpaceDE w:val="0"/>
        <w:autoSpaceDN w:val="0"/>
        <w:adjustRightInd w:val="0"/>
        <w:spacing w:line="360" w:lineRule="auto"/>
        <w:ind w:firstLine="630"/>
        <w:rPr>
          <w:rFonts w:ascii="华文楷体" w:hAnsi="华文楷体" w:eastAsia="华文楷体"/>
          <w:sz w:val="32"/>
          <w:szCs w:val="32"/>
        </w:rPr>
      </w:pPr>
      <w:r>
        <w:rPr>
          <w:rFonts w:hint="eastAsia" w:ascii="华文楷体" w:hAnsi="华文楷体" w:eastAsia="华文楷体"/>
          <w:sz w:val="32"/>
          <w:szCs w:val="32"/>
        </w:rPr>
        <w:t>二、选择投保标准方案的40周岁以上（含40岁）的参保人或购买二份者需履行健康实告之义务，填写“安康保险个人健康告知书”，39岁以下（含39岁）的参保人，在参保前只须口头如实告知是否有责任免除的情形，并由参保单位工会对其健康状况进行把关，保险公司不再进行体检；选择投保可选方案的参保人，不管年龄大小，均需填写“安康保险个人健康告知书”告知保险公司其身体健康状况。</w:t>
      </w:r>
    </w:p>
    <w:p>
      <w:pPr>
        <w:pStyle w:val="13"/>
        <w:ind w:left="141" w:leftChars="67" w:firstLine="480" w:firstLineChars="150"/>
        <w:rPr>
          <w:rFonts w:ascii="华文楷体" w:hAnsi="华文楷体" w:eastAsia="华文楷体"/>
          <w:szCs w:val="32"/>
        </w:rPr>
      </w:pPr>
      <w:r>
        <w:rPr>
          <w:rFonts w:hint="eastAsia" w:ascii="华文楷体" w:hAnsi="华文楷体" w:eastAsia="华文楷体"/>
          <w:sz w:val="32"/>
          <w:szCs w:val="32"/>
        </w:rPr>
        <w:t xml:space="preserve">三、参保单位和参保人故意不履行如实告知义务的，保险公司有权解除参保人的参保资格，并不履行保险责任，不退还所缴保费。 </w:t>
      </w:r>
      <w:r>
        <w:rPr>
          <w:rFonts w:hint="eastAsia" w:ascii="华文楷体" w:hAnsi="华文楷体" w:eastAsia="华文楷体"/>
          <w:szCs w:val="32"/>
        </w:rPr>
        <w:t xml:space="preserve"> </w:t>
      </w:r>
    </w:p>
    <w:p>
      <w:pPr>
        <w:pStyle w:val="11"/>
        <w:spacing w:line="360" w:lineRule="auto"/>
        <w:ind w:left="141" w:leftChars="67" w:firstLine="628" w:firstLineChars="196"/>
        <w:rPr>
          <w:rFonts w:ascii="华文楷体" w:hAnsi="华文楷体" w:eastAsia="华文楷体"/>
          <w:b/>
          <w:sz w:val="32"/>
          <w:szCs w:val="32"/>
        </w:rPr>
      </w:pPr>
      <w:r>
        <w:rPr>
          <w:rFonts w:hint="eastAsia" w:ascii="华文楷体" w:hAnsi="华文楷体" w:eastAsia="华文楷体"/>
          <w:b/>
          <w:sz w:val="32"/>
          <w:szCs w:val="32"/>
        </w:rPr>
        <w:t>第九条   受益人的指定和变更</w:t>
      </w:r>
    </w:p>
    <w:p>
      <w:pPr>
        <w:autoSpaceDE w:val="0"/>
        <w:autoSpaceDN w:val="0"/>
        <w:adjustRightInd w:val="0"/>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保险金的受益人为参保人本人，本保险不受理指定或变更保险受益人。</w:t>
      </w:r>
    </w:p>
    <w:p>
      <w:pPr>
        <w:autoSpaceDE w:val="0"/>
        <w:autoSpaceDN w:val="0"/>
        <w:adjustRightInd w:val="0"/>
        <w:spacing w:line="360" w:lineRule="auto"/>
        <w:ind w:firstLine="628" w:firstLineChars="196"/>
        <w:rPr>
          <w:rFonts w:ascii="华文楷体" w:hAnsi="华文楷体" w:eastAsia="华文楷体"/>
          <w:b/>
          <w:sz w:val="32"/>
          <w:szCs w:val="32"/>
        </w:rPr>
      </w:pPr>
    </w:p>
    <w:p>
      <w:pPr>
        <w:autoSpaceDE w:val="0"/>
        <w:autoSpaceDN w:val="0"/>
        <w:adjustRightInd w:val="0"/>
        <w:spacing w:line="360" w:lineRule="auto"/>
        <w:ind w:firstLine="628" w:firstLineChars="196"/>
        <w:rPr>
          <w:rFonts w:ascii="华文楷体" w:hAnsi="华文楷体" w:eastAsia="华文楷体"/>
          <w:b/>
          <w:sz w:val="32"/>
          <w:szCs w:val="32"/>
        </w:rPr>
      </w:pPr>
      <w:r>
        <w:rPr>
          <w:rFonts w:hint="eastAsia" w:ascii="华文楷体" w:hAnsi="华文楷体" w:eastAsia="华文楷体"/>
          <w:b/>
          <w:sz w:val="32"/>
          <w:szCs w:val="32"/>
        </w:rPr>
        <w:t>第十条   保险金申请</w:t>
      </w:r>
    </w:p>
    <w:p>
      <w:pPr>
        <w:autoSpaceDE w:val="0"/>
        <w:autoSpaceDN w:val="0"/>
        <w:adjustRightInd w:val="0"/>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一、由参保人填写保险金给付申请书，并提供病历、癌症确诊书（病理显微镜检查、血液检验及其他科学方法检验报告的疾病诊断证明书）、个人身份证明等资料报平安养老保险公司云南分公司安康险项目小组理赔经办人员。</w:t>
      </w:r>
    </w:p>
    <w:p>
      <w:pPr>
        <w:autoSpaceDE w:val="0"/>
        <w:autoSpaceDN w:val="0"/>
        <w:adjustRightInd w:val="0"/>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二、保险公司收到上述证明和资料后，对确定属保险责任的，一般案件十日内履行给付保险金义务，调查案件一个月内履行给付保险金义务。对不属保险责任的，发出拒绝给付保险金的通知。</w:t>
      </w:r>
    </w:p>
    <w:p>
      <w:pPr>
        <w:autoSpaceDE w:val="0"/>
        <w:autoSpaceDN w:val="0"/>
        <w:adjustRightInd w:val="0"/>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 xml:space="preserve">三、参保人对本保险金申请的权利，自其知道或应当知道出险之日起二年内不行使的自行消亡。    </w:t>
      </w:r>
    </w:p>
    <w:p>
      <w:pPr>
        <w:autoSpaceDE w:val="0"/>
        <w:autoSpaceDN w:val="0"/>
        <w:adjustRightInd w:val="0"/>
        <w:spacing w:line="360" w:lineRule="auto"/>
        <w:ind w:firstLine="628" w:firstLineChars="196"/>
        <w:rPr>
          <w:rFonts w:ascii="华文楷体" w:hAnsi="华文楷体" w:eastAsia="华文楷体"/>
          <w:b/>
          <w:sz w:val="32"/>
          <w:szCs w:val="32"/>
        </w:rPr>
      </w:pPr>
    </w:p>
    <w:p>
      <w:pPr>
        <w:autoSpaceDE w:val="0"/>
        <w:autoSpaceDN w:val="0"/>
        <w:adjustRightInd w:val="0"/>
        <w:spacing w:line="360" w:lineRule="auto"/>
        <w:ind w:firstLine="628" w:firstLineChars="196"/>
        <w:rPr>
          <w:rFonts w:ascii="华文楷体" w:hAnsi="华文楷体" w:eastAsia="华文楷体"/>
          <w:b/>
          <w:sz w:val="32"/>
          <w:szCs w:val="32"/>
        </w:rPr>
      </w:pPr>
      <w:r>
        <w:rPr>
          <w:rFonts w:hint="eastAsia" w:ascii="华文楷体" w:hAnsi="华文楷体" w:eastAsia="华文楷体"/>
          <w:b/>
          <w:sz w:val="32"/>
          <w:szCs w:val="32"/>
        </w:rPr>
        <w:t>第十一条   保险理赔管理</w:t>
      </w:r>
    </w:p>
    <w:p>
      <w:pPr>
        <w:autoSpaceDE w:val="0"/>
        <w:autoSpaceDN w:val="0"/>
        <w:adjustRightInd w:val="0"/>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一、申请理赔时，所提供的癌症确诊书必须由工会所在地的职工基本医疗保险定点医机构，或保险公司认可的县级以上医院出据的癌症确诊书方为有效。</w:t>
      </w:r>
    </w:p>
    <w:p>
      <w:pPr>
        <w:autoSpaceDE w:val="0"/>
        <w:autoSpaceDN w:val="0"/>
        <w:adjustRightInd w:val="0"/>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二、若保险公司对医院提供的诊断书有疑问，可要求到另一家医院进一步确诊，如果重新确诊无疑的，检查费由保险公司承担；如果重新诊断后验证原诊断不真实，检查费由个人承担。</w:t>
      </w:r>
    </w:p>
    <w:p>
      <w:pPr>
        <w:autoSpaceDE w:val="0"/>
        <w:autoSpaceDN w:val="0"/>
        <w:adjustRightInd w:val="0"/>
        <w:spacing w:line="360" w:lineRule="auto"/>
        <w:ind w:firstLine="628" w:firstLineChars="196"/>
        <w:rPr>
          <w:rFonts w:ascii="华文楷体" w:hAnsi="华文楷体" w:eastAsia="华文楷体"/>
          <w:b/>
          <w:sz w:val="32"/>
          <w:szCs w:val="32"/>
        </w:rPr>
      </w:pPr>
    </w:p>
    <w:p>
      <w:pPr>
        <w:autoSpaceDE w:val="0"/>
        <w:autoSpaceDN w:val="0"/>
        <w:adjustRightInd w:val="0"/>
        <w:spacing w:line="360" w:lineRule="auto"/>
        <w:ind w:firstLine="628" w:firstLineChars="196"/>
        <w:rPr>
          <w:rFonts w:ascii="华文楷体" w:hAnsi="华文楷体" w:eastAsia="华文楷体"/>
          <w:b/>
          <w:sz w:val="32"/>
          <w:szCs w:val="32"/>
        </w:rPr>
      </w:pPr>
      <w:r>
        <w:rPr>
          <w:rFonts w:hint="eastAsia" w:ascii="华文楷体" w:hAnsi="华文楷体" w:eastAsia="华文楷体"/>
          <w:b/>
          <w:sz w:val="32"/>
          <w:szCs w:val="32"/>
        </w:rPr>
        <w:t>第十二条   参保人变动</w:t>
      </w:r>
    </w:p>
    <w:p>
      <w:pPr>
        <w:autoSpaceDE w:val="0"/>
        <w:autoSpaceDN w:val="0"/>
        <w:adjustRightInd w:val="0"/>
        <w:spacing w:line="360" w:lineRule="auto"/>
        <w:ind w:firstLine="735"/>
        <w:rPr>
          <w:rFonts w:ascii="华文楷体" w:hAnsi="华文楷体" w:eastAsia="华文楷体"/>
          <w:sz w:val="32"/>
          <w:szCs w:val="32"/>
        </w:rPr>
      </w:pPr>
      <w:r>
        <w:rPr>
          <w:rFonts w:hint="eastAsia" w:ascii="华文楷体" w:hAnsi="华文楷体" w:eastAsia="华文楷体"/>
          <w:sz w:val="32"/>
          <w:szCs w:val="32"/>
        </w:rPr>
        <w:t>一、</w:t>
      </w:r>
      <w:r>
        <w:rPr>
          <w:rFonts w:hint="eastAsia" w:ascii="华文楷体" w:hAnsi="华文楷体" w:eastAsia="华文楷体"/>
          <w:color w:val="000000"/>
          <w:sz w:val="32"/>
          <w:szCs w:val="32"/>
        </w:rPr>
        <w:t>团体参保的参保个人一旦投保，中途不得退保。</w:t>
      </w:r>
      <w:r>
        <w:rPr>
          <w:rFonts w:hint="eastAsia" w:ascii="华文楷体" w:hAnsi="华文楷体" w:eastAsia="华文楷体"/>
          <w:sz w:val="32"/>
          <w:szCs w:val="32"/>
        </w:rPr>
        <w:t>参保人因劳动关系变动、解除劳动关系或退休等，在保险有效期内，未终止保险关系的，保险责任继续有效。</w:t>
      </w:r>
    </w:p>
    <w:p>
      <w:pPr>
        <w:autoSpaceDE w:val="0"/>
        <w:autoSpaceDN w:val="0"/>
        <w:adjustRightInd w:val="0"/>
        <w:spacing w:line="360" w:lineRule="auto"/>
        <w:ind w:firstLine="838"/>
        <w:rPr>
          <w:rFonts w:ascii="华文楷体" w:hAnsi="华文楷体" w:eastAsia="华文楷体"/>
          <w:sz w:val="32"/>
          <w:szCs w:val="32"/>
        </w:rPr>
      </w:pPr>
      <w:r>
        <w:rPr>
          <w:rFonts w:hint="eastAsia" w:ascii="华文楷体" w:hAnsi="华文楷体" w:eastAsia="华文楷体"/>
          <w:sz w:val="32"/>
          <w:szCs w:val="32"/>
        </w:rPr>
        <w:t>二、参保人因离职、调离本省等不利于维持保险关系的，可书面申请退保（其他情况除外），保险公司自收到退保申请的次日零时起终止保险关系，退还参保人实际所缴保费的未满期净保费。</w:t>
      </w:r>
    </w:p>
    <w:p>
      <w:pPr>
        <w:autoSpaceDE w:val="0"/>
        <w:autoSpaceDN w:val="0"/>
        <w:adjustRightInd w:val="0"/>
        <w:spacing w:line="360" w:lineRule="auto"/>
        <w:ind w:firstLine="628" w:firstLineChars="196"/>
        <w:rPr>
          <w:rFonts w:ascii="华文楷体" w:hAnsi="华文楷体" w:eastAsia="华文楷体"/>
          <w:b/>
          <w:sz w:val="32"/>
          <w:szCs w:val="32"/>
        </w:rPr>
      </w:pPr>
    </w:p>
    <w:p>
      <w:pPr>
        <w:autoSpaceDE w:val="0"/>
        <w:autoSpaceDN w:val="0"/>
        <w:adjustRightInd w:val="0"/>
        <w:spacing w:line="360" w:lineRule="auto"/>
        <w:ind w:firstLine="628" w:firstLineChars="196"/>
        <w:rPr>
          <w:rFonts w:ascii="华文楷体" w:hAnsi="华文楷体" w:eastAsia="华文楷体"/>
          <w:b/>
          <w:sz w:val="32"/>
          <w:szCs w:val="32"/>
        </w:rPr>
      </w:pPr>
      <w:r>
        <w:rPr>
          <w:rFonts w:hint="eastAsia" w:ascii="华文楷体" w:hAnsi="华文楷体" w:eastAsia="华文楷体"/>
          <w:b/>
          <w:sz w:val="32"/>
          <w:szCs w:val="32"/>
        </w:rPr>
        <w:t>第十三条   办理终止保险关系</w:t>
      </w:r>
    </w:p>
    <w:p>
      <w:pPr>
        <w:autoSpaceDE w:val="0"/>
        <w:autoSpaceDN w:val="0"/>
        <w:adjustRightInd w:val="0"/>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参保人若符合第十二条第二款情况退保的，或参保人在保险期间身故的，按下列程序办理终止保险关系的手续：</w:t>
      </w:r>
    </w:p>
    <w:p>
      <w:pPr>
        <w:autoSpaceDE w:val="0"/>
        <w:autoSpaceDN w:val="0"/>
        <w:adjustRightInd w:val="0"/>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一、申请退保人需提供下列证明和资料</w:t>
      </w:r>
    </w:p>
    <w:p>
      <w:pPr>
        <w:autoSpaceDE w:val="0"/>
        <w:autoSpaceDN w:val="0"/>
        <w:adjustRightInd w:val="0"/>
        <w:spacing w:line="360" w:lineRule="auto"/>
        <w:ind w:firstLine="800" w:firstLineChars="250"/>
        <w:rPr>
          <w:rFonts w:ascii="华文楷体" w:hAnsi="华文楷体" w:eastAsia="华文楷体"/>
          <w:sz w:val="32"/>
          <w:szCs w:val="32"/>
        </w:rPr>
      </w:pPr>
      <w:r>
        <w:rPr>
          <w:rFonts w:hint="eastAsia" w:ascii="华文楷体" w:hAnsi="华文楷体" w:eastAsia="华文楷体"/>
          <w:sz w:val="32"/>
          <w:szCs w:val="32"/>
        </w:rPr>
        <w:t>1、参保单位提供的参保人参保证明；</w:t>
      </w:r>
    </w:p>
    <w:p>
      <w:pPr>
        <w:autoSpaceDE w:val="0"/>
        <w:autoSpaceDN w:val="0"/>
        <w:adjustRightInd w:val="0"/>
        <w:spacing w:line="360" w:lineRule="auto"/>
        <w:ind w:firstLine="800" w:firstLineChars="250"/>
        <w:rPr>
          <w:rFonts w:ascii="华文楷体" w:hAnsi="华文楷体" w:eastAsia="华文楷体"/>
          <w:sz w:val="32"/>
          <w:szCs w:val="32"/>
        </w:rPr>
      </w:pPr>
      <w:r>
        <w:rPr>
          <w:rFonts w:hint="eastAsia" w:ascii="华文楷体" w:hAnsi="华文楷体" w:eastAsia="华文楷体"/>
          <w:sz w:val="32"/>
          <w:szCs w:val="32"/>
        </w:rPr>
        <w:t>2、退保申请书（或解除合同申请书）；</w:t>
      </w:r>
    </w:p>
    <w:p>
      <w:pPr>
        <w:autoSpaceDE w:val="0"/>
        <w:autoSpaceDN w:val="0"/>
        <w:adjustRightInd w:val="0"/>
        <w:spacing w:line="360" w:lineRule="auto"/>
        <w:ind w:firstLine="800" w:firstLineChars="250"/>
        <w:rPr>
          <w:rFonts w:ascii="华文楷体" w:hAnsi="华文楷体" w:eastAsia="华文楷体"/>
          <w:sz w:val="32"/>
          <w:szCs w:val="32"/>
        </w:rPr>
      </w:pPr>
      <w:r>
        <w:rPr>
          <w:rFonts w:hint="eastAsia" w:ascii="华文楷体" w:hAnsi="华文楷体" w:eastAsia="华文楷体"/>
          <w:sz w:val="32"/>
          <w:szCs w:val="32"/>
        </w:rPr>
        <w:t>3、参保人身份证复印件。</w:t>
      </w:r>
    </w:p>
    <w:p>
      <w:pPr>
        <w:autoSpaceDE w:val="0"/>
        <w:autoSpaceDN w:val="0"/>
        <w:adjustRightInd w:val="0"/>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二、保险公司收到退保申请之日零时起，保险责任终止，并于收到上述证明材料之日起三十日内对参保人按日计算退还未满期净保费（经过日数不足一日按一日计算）。</w:t>
      </w:r>
    </w:p>
    <w:p>
      <w:pPr>
        <w:autoSpaceDE w:val="0"/>
        <w:autoSpaceDN w:val="0"/>
        <w:adjustRightInd w:val="0"/>
        <w:spacing w:line="360" w:lineRule="auto"/>
        <w:ind w:firstLine="640" w:firstLineChars="200"/>
        <w:rPr>
          <w:rFonts w:ascii="华文楷体" w:hAnsi="华文楷体" w:eastAsia="华文楷体"/>
          <w:sz w:val="32"/>
          <w:szCs w:val="32"/>
        </w:rPr>
      </w:pPr>
    </w:p>
    <w:p>
      <w:pPr>
        <w:autoSpaceDE w:val="0"/>
        <w:autoSpaceDN w:val="0"/>
        <w:adjustRightInd w:val="0"/>
        <w:spacing w:line="360" w:lineRule="auto"/>
        <w:ind w:firstLine="628" w:firstLineChars="196"/>
        <w:rPr>
          <w:rFonts w:ascii="华文楷体" w:hAnsi="华文楷体" w:eastAsia="华文楷体"/>
          <w:b/>
          <w:sz w:val="32"/>
          <w:szCs w:val="32"/>
        </w:rPr>
      </w:pPr>
      <w:r>
        <w:rPr>
          <w:rFonts w:hint="eastAsia" w:ascii="华文楷体" w:hAnsi="华文楷体" w:eastAsia="华文楷体"/>
          <w:b/>
          <w:sz w:val="32"/>
          <w:szCs w:val="32"/>
        </w:rPr>
        <w:t>第十四条   争议处理</w:t>
      </w:r>
    </w:p>
    <w:p>
      <w:pPr>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本条款在履行过程中双方发生争议的，可协商解决，如协商未达成协议的，可向保险公司所在地法院提起诉讼。</w:t>
      </w:r>
    </w:p>
    <w:p>
      <w:pPr>
        <w:autoSpaceDE w:val="0"/>
        <w:autoSpaceDN w:val="0"/>
        <w:adjustRightInd w:val="0"/>
        <w:spacing w:line="360" w:lineRule="auto"/>
        <w:ind w:firstLine="628" w:firstLineChars="196"/>
        <w:rPr>
          <w:rFonts w:ascii="华文楷体" w:hAnsi="华文楷体" w:eastAsia="华文楷体"/>
          <w:b/>
          <w:sz w:val="32"/>
          <w:szCs w:val="32"/>
        </w:rPr>
      </w:pPr>
    </w:p>
    <w:p>
      <w:pPr>
        <w:autoSpaceDE w:val="0"/>
        <w:autoSpaceDN w:val="0"/>
        <w:adjustRightInd w:val="0"/>
        <w:spacing w:line="360" w:lineRule="auto"/>
        <w:ind w:firstLine="628" w:firstLineChars="196"/>
        <w:rPr>
          <w:rFonts w:ascii="华文楷体" w:hAnsi="华文楷体" w:eastAsia="华文楷体"/>
          <w:b/>
          <w:sz w:val="32"/>
          <w:szCs w:val="32"/>
        </w:rPr>
      </w:pPr>
      <w:r>
        <w:rPr>
          <w:rFonts w:hint="eastAsia" w:ascii="华文楷体" w:hAnsi="华文楷体" w:eastAsia="华文楷体"/>
          <w:b/>
          <w:sz w:val="32"/>
          <w:szCs w:val="32"/>
        </w:rPr>
        <w:t>第十五条   释义</w:t>
      </w:r>
    </w:p>
    <w:p>
      <w:pPr>
        <w:autoSpaceDE w:val="0"/>
        <w:autoSpaceDN w:val="0"/>
        <w:adjustRightInd w:val="0"/>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[团体]指是国境内具有八人以上且非因购买保险而组织的合法团体。包括国家机关、院校、企事业单位、行业组织等。</w:t>
      </w:r>
    </w:p>
    <w:p>
      <w:pPr>
        <w:autoSpaceDE w:val="0"/>
        <w:autoSpaceDN w:val="0"/>
        <w:adjustRightInd w:val="0"/>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[参保人]指省总工会及其所属单位参加本保险，被保险人清单中所载人员。</w:t>
      </w:r>
    </w:p>
    <w:p>
      <w:pPr>
        <w:autoSpaceDE w:val="0"/>
        <w:autoSpaceDN w:val="0"/>
        <w:adjustRightInd w:val="0"/>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[本保险]省总工会安康保险。</w:t>
      </w:r>
    </w:p>
    <w:p>
      <w:pPr>
        <w:autoSpaceDE w:val="0"/>
        <w:autoSpaceDN w:val="0"/>
        <w:adjustRightInd w:val="0"/>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[原发性]指非因其他部位所患癌症转移至上述部位而发生的癌症。</w:t>
      </w:r>
    </w:p>
    <w:p>
      <w:pPr>
        <w:autoSpaceDE w:val="0"/>
        <w:autoSpaceDN w:val="0"/>
        <w:adjustRightInd w:val="0"/>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[原发性妇科癌]指原发性的乳腺癌、子宫癌、子宫颈癌、卵巢癌、输卵管癌、阴道癌。</w:t>
      </w:r>
    </w:p>
    <w:p>
      <w:pPr>
        <w:autoSpaceDE w:val="0"/>
        <w:autoSpaceDN w:val="0"/>
        <w:adjustRightInd w:val="0"/>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[非妇科癌]指除原发性的乳腺癌、子宫癌、子宫颈癌、卵巢癌、输卵管癌、阴道癌之外的所有癌症。</w:t>
      </w:r>
    </w:p>
    <w:p>
      <w:pPr>
        <w:autoSpaceDE w:val="0"/>
        <w:autoSpaceDN w:val="0"/>
        <w:adjustRightInd w:val="0"/>
        <w:spacing w:line="360" w:lineRule="auto"/>
        <w:ind w:firstLine="640" w:firstLineChars="200"/>
        <w:rPr>
          <w:rFonts w:ascii="华文楷体" w:hAnsi="华文楷体" w:eastAsia="华文楷体"/>
          <w:snapToGrid w:val="0"/>
          <w:kern w:val="0"/>
          <w:sz w:val="32"/>
          <w:szCs w:val="32"/>
        </w:rPr>
      </w:pPr>
      <w:r>
        <w:rPr>
          <w:rFonts w:hint="eastAsia" w:ascii="华文楷体" w:hAnsi="华文楷体" w:eastAsia="华文楷体"/>
          <w:sz w:val="32"/>
          <w:szCs w:val="32"/>
        </w:rPr>
        <w:t>[原发性男科癌]</w:t>
      </w:r>
      <w:r>
        <w:rPr>
          <w:rFonts w:hint="eastAsia" w:ascii="华文楷体" w:hAnsi="华文楷体" w:eastAsia="华文楷体"/>
          <w:snapToGrid w:val="0"/>
          <w:kern w:val="0"/>
          <w:sz w:val="32"/>
          <w:szCs w:val="32"/>
        </w:rPr>
        <w:t xml:space="preserve"> 指</w:t>
      </w:r>
      <w:r>
        <w:rPr>
          <w:rFonts w:ascii="华文楷体" w:hAnsi="华文楷体" w:eastAsia="华文楷体"/>
          <w:snapToGrid w:val="0"/>
          <w:kern w:val="0"/>
          <w:sz w:val="32"/>
          <w:szCs w:val="32"/>
        </w:rPr>
        <w:t>原发性</w:t>
      </w:r>
      <w:r>
        <w:rPr>
          <w:rFonts w:hint="eastAsia" w:ascii="华文楷体" w:hAnsi="华文楷体" w:eastAsia="华文楷体"/>
          <w:snapToGrid w:val="0"/>
          <w:kern w:val="0"/>
          <w:sz w:val="32"/>
          <w:szCs w:val="32"/>
        </w:rPr>
        <w:t>的</w:t>
      </w:r>
      <w:r>
        <w:rPr>
          <w:rFonts w:ascii="华文楷体" w:hAnsi="华文楷体" w:eastAsia="华文楷体"/>
          <w:snapToGrid w:val="0"/>
          <w:kern w:val="0"/>
          <w:sz w:val="32"/>
          <w:szCs w:val="32"/>
        </w:rPr>
        <w:t>前列腺癌、阴茎癌、睾丸癌</w:t>
      </w:r>
      <w:r>
        <w:rPr>
          <w:rFonts w:hint="eastAsia" w:ascii="华文楷体" w:hAnsi="华文楷体" w:eastAsia="华文楷体"/>
          <w:snapToGrid w:val="0"/>
          <w:kern w:val="0"/>
          <w:sz w:val="32"/>
          <w:szCs w:val="32"/>
        </w:rPr>
        <w:t>。</w:t>
      </w:r>
    </w:p>
    <w:p>
      <w:pPr>
        <w:autoSpaceDE w:val="0"/>
        <w:autoSpaceDN w:val="0"/>
        <w:adjustRightInd w:val="0"/>
        <w:spacing w:line="360" w:lineRule="auto"/>
        <w:ind w:firstLine="640" w:firstLineChars="200"/>
        <w:rPr>
          <w:rFonts w:ascii="华文楷体" w:hAnsi="华文楷体" w:eastAsia="华文楷体"/>
          <w:sz w:val="32"/>
          <w:szCs w:val="32"/>
        </w:rPr>
      </w:pPr>
      <w:r>
        <w:rPr>
          <w:rFonts w:hint="eastAsia" w:ascii="华文楷体" w:hAnsi="华文楷体" w:eastAsia="华文楷体"/>
          <w:snapToGrid w:val="0"/>
          <w:kern w:val="0"/>
          <w:sz w:val="32"/>
          <w:szCs w:val="32"/>
        </w:rPr>
        <w:t>[非男科癌] 指除</w:t>
      </w:r>
      <w:r>
        <w:rPr>
          <w:rFonts w:ascii="华文楷体" w:hAnsi="华文楷体" w:eastAsia="华文楷体"/>
          <w:snapToGrid w:val="0"/>
          <w:kern w:val="0"/>
          <w:sz w:val="32"/>
          <w:szCs w:val="32"/>
        </w:rPr>
        <w:t>原发性</w:t>
      </w:r>
      <w:r>
        <w:rPr>
          <w:rFonts w:hint="eastAsia" w:ascii="华文楷体" w:hAnsi="华文楷体" w:eastAsia="华文楷体"/>
          <w:snapToGrid w:val="0"/>
          <w:kern w:val="0"/>
          <w:sz w:val="32"/>
          <w:szCs w:val="32"/>
        </w:rPr>
        <w:t>的</w:t>
      </w:r>
      <w:r>
        <w:rPr>
          <w:rFonts w:ascii="华文楷体" w:hAnsi="华文楷体" w:eastAsia="华文楷体"/>
          <w:snapToGrid w:val="0"/>
          <w:kern w:val="0"/>
          <w:sz w:val="32"/>
          <w:szCs w:val="32"/>
        </w:rPr>
        <w:t>前列腺癌、阴茎癌、睾丸癌</w:t>
      </w:r>
      <w:r>
        <w:rPr>
          <w:rFonts w:hint="eastAsia" w:ascii="华文楷体" w:hAnsi="华文楷体" w:eastAsia="华文楷体"/>
          <w:snapToGrid w:val="0"/>
          <w:kern w:val="0"/>
          <w:sz w:val="32"/>
          <w:szCs w:val="32"/>
        </w:rPr>
        <w:t>之外的所有癌症。</w:t>
      </w:r>
    </w:p>
    <w:p>
      <w:pPr>
        <w:spacing w:line="360" w:lineRule="auto"/>
        <w:ind w:firstLine="640" w:firstLineChars="200"/>
        <w:rPr>
          <w:rFonts w:ascii="华文楷体" w:hAnsi="华文楷体" w:eastAsia="华文楷体"/>
          <w:sz w:val="32"/>
          <w:szCs w:val="32"/>
        </w:rPr>
      </w:pPr>
      <w:r>
        <w:rPr>
          <w:rFonts w:hint="eastAsia" w:ascii="华文楷体" w:hAnsi="华文楷体" w:eastAsia="华文楷体"/>
          <w:bCs/>
          <w:sz w:val="32"/>
          <w:szCs w:val="32"/>
        </w:rPr>
        <w:t>[原位癌]</w:t>
      </w:r>
      <w:r>
        <w:rPr>
          <w:rFonts w:hint="eastAsia" w:ascii="华文楷体" w:hAnsi="华文楷体" w:eastAsia="华文楷体"/>
          <w:sz w:val="32"/>
          <w:szCs w:val="32"/>
        </w:rPr>
        <w:t>指癌变仅见于粘膜上皮层或皮肤表皮层内，常波及上皮的全层，但尚未浸润到粘膜的下层或真皮，基底膜完整。</w:t>
      </w:r>
    </w:p>
    <w:p>
      <w:pPr>
        <w:autoSpaceDE w:val="0"/>
        <w:autoSpaceDN w:val="0"/>
        <w:adjustRightInd w:val="0"/>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[净保费]指所交保费扣除管理费（含营业费用、各项税金、保险保障基金等）和代理费，扣除部分占所交保费的25%。</w:t>
      </w:r>
    </w:p>
    <w:p>
      <w:pPr>
        <w:autoSpaceDE w:val="0"/>
        <w:autoSpaceDN w:val="0"/>
        <w:adjustRightInd w:val="0"/>
        <w:spacing w:line="360" w:lineRule="auto"/>
        <w:ind w:firstLine="628" w:firstLineChars="196"/>
        <w:rPr>
          <w:rFonts w:ascii="华文楷体" w:hAnsi="华文楷体" w:eastAsia="华文楷体"/>
          <w:b/>
          <w:sz w:val="32"/>
          <w:szCs w:val="32"/>
        </w:rPr>
      </w:pPr>
    </w:p>
    <w:p>
      <w:pPr>
        <w:autoSpaceDE w:val="0"/>
        <w:autoSpaceDN w:val="0"/>
        <w:adjustRightInd w:val="0"/>
        <w:spacing w:line="360" w:lineRule="auto"/>
        <w:ind w:firstLine="628" w:firstLineChars="196"/>
        <w:rPr>
          <w:rFonts w:ascii="华文楷体" w:hAnsi="华文楷体" w:eastAsia="华文楷体"/>
          <w:b/>
          <w:sz w:val="32"/>
          <w:szCs w:val="32"/>
        </w:rPr>
      </w:pPr>
      <w:r>
        <w:rPr>
          <w:rFonts w:hint="eastAsia" w:ascii="华文楷体" w:hAnsi="华文楷体" w:eastAsia="华文楷体"/>
          <w:b/>
          <w:sz w:val="32"/>
          <w:szCs w:val="32"/>
        </w:rPr>
        <w:t>第十六条   解释权归属</w:t>
      </w:r>
    </w:p>
    <w:p>
      <w:pPr>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本计划的解释权归属保险公司及授权单位。</w:t>
      </w:r>
    </w:p>
    <w:p>
      <w:pPr>
        <w:spacing w:line="360" w:lineRule="auto"/>
        <w:jc w:val="left"/>
        <w:rPr>
          <w:rFonts w:asciiTheme="minorEastAsia" w:hAnsiTheme="minorEastAsia" w:eastAsiaTheme="minorEastAsia"/>
          <w:color w:val="000000" w:themeColor="text1"/>
          <w:sz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8"/>
      <w:lvlText w:val=""/>
      <w:lvlJc w:val="left"/>
      <w:pPr>
        <w:tabs>
          <w:tab w:val="left" w:pos="360"/>
        </w:tabs>
        <w:ind w:left="360" w:hanging="360"/>
      </w:pPr>
      <w:rPr>
        <w:rFonts w:hint="default" w:ascii="Wingdings" w:hAnsi="Wingdings"/>
      </w:rPr>
    </w:lvl>
  </w:abstractNum>
  <w:abstractNum w:abstractNumId="1">
    <w:nsid w:val="00F15BB6"/>
    <w:multiLevelType w:val="multilevel"/>
    <w:tmpl w:val="00F15BB6"/>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9F01243"/>
    <w:multiLevelType w:val="multilevel"/>
    <w:tmpl w:val="59F01243"/>
    <w:lvl w:ilvl="0" w:tentative="0">
      <w:start w:val="1"/>
      <w:numFmt w:val="decimal"/>
      <w:lvlText w:val="%1、"/>
      <w:lvlJc w:val="left"/>
      <w:pPr>
        <w:ind w:left="1705" w:hanging="106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879"/>
    <w:rsid w:val="00001113"/>
    <w:rsid w:val="0000498D"/>
    <w:rsid w:val="000237C8"/>
    <w:rsid w:val="000442E2"/>
    <w:rsid w:val="000545FD"/>
    <w:rsid w:val="0006390A"/>
    <w:rsid w:val="00066D1C"/>
    <w:rsid w:val="00072117"/>
    <w:rsid w:val="000836A9"/>
    <w:rsid w:val="00093739"/>
    <w:rsid w:val="000A4972"/>
    <w:rsid w:val="000A5C6E"/>
    <w:rsid w:val="000B2A6F"/>
    <w:rsid w:val="000C17A5"/>
    <w:rsid w:val="000C6B69"/>
    <w:rsid w:val="000E4659"/>
    <w:rsid w:val="000F2486"/>
    <w:rsid w:val="000F6403"/>
    <w:rsid w:val="0010737B"/>
    <w:rsid w:val="00123B73"/>
    <w:rsid w:val="00136201"/>
    <w:rsid w:val="001468D9"/>
    <w:rsid w:val="00146998"/>
    <w:rsid w:val="00152D06"/>
    <w:rsid w:val="00155C46"/>
    <w:rsid w:val="00185762"/>
    <w:rsid w:val="001A3579"/>
    <w:rsid w:val="001A4C24"/>
    <w:rsid w:val="001A6247"/>
    <w:rsid w:val="001A75A8"/>
    <w:rsid w:val="001B6DEF"/>
    <w:rsid w:val="001D5F1F"/>
    <w:rsid w:val="001E6468"/>
    <w:rsid w:val="001E68E6"/>
    <w:rsid w:val="001E6AAC"/>
    <w:rsid w:val="001F5163"/>
    <w:rsid w:val="001F6215"/>
    <w:rsid w:val="001F7FC1"/>
    <w:rsid w:val="00205201"/>
    <w:rsid w:val="00207D55"/>
    <w:rsid w:val="0021047C"/>
    <w:rsid w:val="00216586"/>
    <w:rsid w:val="00232AE0"/>
    <w:rsid w:val="00257BBF"/>
    <w:rsid w:val="00266128"/>
    <w:rsid w:val="00266411"/>
    <w:rsid w:val="002733CB"/>
    <w:rsid w:val="00297697"/>
    <w:rsid w:val="002A770F"/>
    <w:rsid w:val="002B1704"/>
    <w:rsid w:val="002C416D"/>
    <w:rsid w:val="002C66DE"/>
    <w:rsid w:val="002D0736"/>
    <w:rsid w:val="002D4116"/>
    <w:rsid w:val="002D4D25"/>
    <w:rsid w:val="002D67C1"/>
    <w:rsid w:val="002E2643"/>
    <w:rsid w:val="002E4093"/>
    <w:rsid w:val="002E5B4F"/>
    <w:rsid w:val="00301D61"/>
    <w:rsid w:val="00302E83"/>
    <w:rsid w:val="00312612"/>
    <w:rsid w:val="003251F4"/>
    <w:rsid w:val="00331F52"/>
    <w:rsid w:val="00344DAE"/>
    <w:rsid w:val="00351B59"/>
    <w:rsid w:val="00361225"/>
    <w:rsid w:val="0036254A"/>
    <w:rsid w:val="00363F62"/>
    <w:rsid w:val="0038796A"/>
    <w:rsid w:val="003A16C2"/>
    <w:rsid w:val="003A1E7E"/>
    <w:rsid w:val="003A7E4D"/>
    <w:rsid w:val="003A7F95"/>
    <w:rsid w:val="003B20FD"/>
    <w:rsid w:val="003C2165"/>
    <w:rsid w:val="003C4976"/>
    <w:rsid w:val="003C5C00"/>
    <w:rsid w:val="003D3A83"/>
    <w:rsid w:val="003F004C"/>
    <w:rsid w:val="003F1F1D"/>
    <w:rsid w:val="004209A0"/>
    <w:rsid w:val="00421052"/>
    <w:rsid w:val="004211CA"/>
    <w:rsid w:val="00422FE9"/>
    <w:rsid w:val="00425E95"/>
    <w:rsid w:val="004349C9"/>
    <w:rsid w:val="00441B21"/>
    <w:rsid w:val="004548DD"/>
    <w:rsid w:val="004619DD"/>
    <w:rsid w:val="0046797F"/>
    <w:rsid w:val="004738CC"/>
    <w:rsid w:val="00476B9C"/>
    <w:rsid w:val="00476F78"/>
    <w:rsid w:val="00481A2D"/>
    <w:rsid w:val="004929F8"/>
    <w:rsid w:val="00492FDD"/>
    <w:rsid w:val="0049545A"/>
    <w:rsid w:val="004A3627"/>
    <w:rsid w:val="004A4D1A"/>
    <w:rsid w:val="004A61F8"/>
    <w:rsid w:val="004C3899"/>
    <w:rsid w:val="004C6C87"/>
    <w:rsid w:val="004D6B81"/>
    <w:rsid w:val="004E5A24"/>
    <w:rsid w:val="004E6366"/>
    <w:rsid w:val="00511EBD"/>
    <w:rsid w:val="00515B54"/>
    <w:rsid w:val="005267FE"/>
    <w:rsid w:val="00540148"/>
    <w:rsid w:val="005547C0"/>
    <w:rsid w:val="0056088B"/>
    <w:rsid w:val="00567E66"/>
    <w:rsid w:val="0057116A"/>
    <w:rsid w:val="00573355"/>
    <w:rsid w:val="00574767"/>
    <w:rsid w:val="00580DC0"/>
    <w:rsid w:val="00596F8D"/>
    <w:rsid w:val="005D4107"/>
    <w:rsid w:val="005E32B8"/>
    <w:rsid w:val="00605684"/>
    <w:rsid w:val="0060700B"/>
    <w:rsid w:val="00632E44"/>
    <w:rsid w:val="0064248B"/>
    <w:rsid w:val="00660CFF"/>
    <w:rsid w:val="00670F84"/>
    <w:rsid w:val="006732C0"/>
    <w:rsid w:val="00675756"/>
    <w:rsid w:val="00686DD1"/>
    <w:rsid w:val="006940BC"/>
    <w:rsid w:val="006A7A37"/>
    <w:rsid w:val="006B5F15"/>
    <w:rsid w:val="006B767A"/>
    <w:rsid w:val="006C0DAD"/>
    <w:rsid w:val="006D001F"/>
    <w:rsid w:val="006E4030"/>
    <w:rsid w:val="006F5631"/>
    <w:rsid w:val="006F645F"/>
    <w:rsid w:val="007023AC"/>
    <w:rsid w:val="00713A25"/>
    <w:rsid w:val="00714951"/>
    <w:rsid w:val="00716E66"/>
    <w:rsid w:val="0072652E"/>
    <w:rsid w:val="007338FA"/>
    <w:rsid w:val="007404D3"/>
    <w:rsid w:val="00740CA5"/>
    <w:rsid w:val="007622B9"/>
    <w:rsid w:val="00770A50"/>
    <w:rsid w:val="007730E0"/>
    <w:rsid w:val="00781704"/>
    <w:rsid w:val="007A25FE"/>
    <w:rsid w:val="007A49A0"/>
    <w:rsid w:val="007B585F"/>
    <w:rsid w:val="007C299A"/>
    <w:rsid w:val="007C7BED"/>
    <w:rsid w:val="007D699C"/>
    <w:rsid w:val="007D74FE"/>
    <w:rsid w:val="007F397F"/>
    <w:rsid w:val="00821608"/>
    <w:rsid w:val="00834638"/>
    <w:rsid w:val="00843D82"/>
    <w:rsid w:val="00860D04"/>
    <w:rsid w:val="00861912"/>
    <w:rsid w:val="00864F24"/>
    <w:rsid w:val="0086621C"/>
    <w:rsid w:val="00872975"/>
    <w:rsid w:val="00872B66"/>
    <w:rsid w:val="00880B29"/>
    <w:rsid w:val="008B4323"/>
    <w:rsid w:val="008E2B10"/>
    <w:rsid w:val="009015AB"/>
    <w:rsid w:val="009022D8"/>
    <w:rsid w:val="00907F82"/>
    <w:rsid w:val="00917E39"/>
    <w:rsid w:val="00922C6F"/>
    <w:rsid w:val="00922D0D"/>
    <w:rsid w:val="00930B96"/>
    <w:rsid w:val="00934F91"/>
    <w:rsid w:val="009517D6"/>
    <w:rsid w:val="00961112"/>
    <w:rsid w:val="00967235"/>
    <w:rsid w:val="009709B4"/>
    <w:rsid w:val="009747ED"/>
    <w:rsid w:val="009831DA"/>
    <w:rsid w:val="00985C87"/>
    <w:rsid w:val="009A4DA3"/>
    <w:rsid w:val="009A5791"/>
    <w:rsid w:val="009C47A6"/>
    <w:rsid w:val="009C6E84"/>
    <w:rsid w:val="009D4C20"/>
    <w:rsid w:val="009F1016"/>
    <w:rsid w:val="00A05D03"/>
    <w:rsid w:val="00A3203A"/>
    <w:rsid w:val="00A3463E"/>
    <w:rsid w:val="00A3519E"/>
    <w:rsid w:val="00A36D62"/>
    <w:rsid w:val="00A40BD6"/>
    <w:rsid w:val="00A55017"/>
    <w:rsid w:val="00A705AF"/>
    <w:rsid w:val="00A7515B"/>
    <w:rsid w:val="00A81FC6"/>
    <w:rsid w:val="00A930A6"/>
    <w:rsid w:val="00A95C5B"/>
    <w:rsid w:val="00AA631A"/>
    <w:rsid w:val="00AB48F1"/>
    <w:rsid w:val="00AB4BD2"/>
    <w:rsid w:val="00AC1447"/>
    <w:rsid w:val="00AC502F"/>
    <w:rsid w:val="00AC7479"/>
    <w:rsid w:val="00AD0D0A"/>
    <w:rsid w:val="00AD611C"/>
    <w:rsid w:val="00AF1CDD"/>
    <w:rsid w:val="00AF472B"/>
    <w:rsid w:val="00B0544D"/>
    <w:rsid w:val="00B10AF6"/>
    <w:rsid w:val="00B10CA8"/>
    <w:rsid w:val="00B23050"/>
    <w:rsid w:val="00B24875"/>
    <w:rsid w:val="00B314C0"/>
    <w:rsid w:val="00B351E5"/>
    <w:rsid w:val="00B603AC"/>
    <w:rsid w:val="00B66759"/>
    <w:rsid w:val="00B728DA"/>
    <w:rsid w:val="00BB4090"/>
    <w:rsid w:val="00BB4769"/>
    <w:rsid w:val="00BC08CC"/>
    <w:rsid w:val="00BD07E9"/>
    <w:rsid w:val="00BD1AAA"/>
    <w:rsid w:val="00BD1EF1"/>
    <w:rsid w:val="00BD701C"/>
    <w:rsid w:val="00BF0083"/>
    <w:rsid w:val="00C06762"/>
    <w:rsid w:val="00C122D0"/>
    <w:rsid w:val="00C22B59"/>
    <w:rsid w:val="00C2472E"/>
    <w:rsid w:val="00C2509D"/>
    <w:rsid w:val="00C34A88"/>
    <w:rsid w:val="00C551FE"/>
    <w:rsid w:val="00C600EF"/>
    <w:rsid w:val="00C6422F"/>
    <w:rsid w:val="00CA215C"/>
    <w:rsid w:val="00CA2879"/>
    <w:rsid w:val="00CC61B9"/>
    <w:rsid w:val="00CE182D"/>
    <w:rsid w:val="00D04AA7"/>
    <w:rsid w:val="00D11FCC"/>
    <w:rsid w:val="00D15EA3"/>
    <w:rsid w:val="00D2068D"/>
    <w:rsid w:val="00D219C6"/>
    <w:rsid w:val="00D256D0"/>
    <w:rsid w:val="00D33838"/>
    <w:rsid w:val="00D34BEF"/>
    <w:rsid w:val="00D45796"/>
    <w:rsid w:val="00D51EBE"/>
    <w:rsid w:val="00D5573F"/>
    <w:rsid w:val="00D92775"/>
    <w:rsid w:val="00DA1A18"/>
    <w:rsid w:val="00DA4D3F"/>
    <w:rsid w:val="00DB1F68"/>
    <w:rsid w:val="00DB27E2"/>
    <w:rsid w:val="00DB600B"/>
    <w:rsid w:val="00DC7D83"/>
    <w:rsid w:val="00DD0E72"/>
    <w:rsid w:val="00DD5CF8"/>
    <w:rsid w:val="00DD6927"/>
    <w:rsid w:val="00DE2963"/>
    <w:rsid w:val="00DE566D"/>
    <w:rsid w:val="00DE567F"/>
    <w:rsid w:val="00DE5FE7"/>
    <w:rsid w:val="00DF0E63"/>
    <w:rsid w:val="00DF3AC5"/>
    <w:rsid w:val="00E05830"/>
    <w:rsid w:val="00E1776F"/>
    <w:rsid w:val="00E30E5E"/>
    <w:rsid w:val="00E32E58"/>
    <w:rsid w:val="00E63B13"/>
    <w:rsid w:val="00E83AAC"/>
    <w:rsid w:val="00E95917"/>
    <w:rsid w:val="00E95B46"/>
    <w:rsid w:val="00EA5F8A"/>
    <w:rsid w:val="00EC0825"/>
    <w:rsid w:val="00EC4E01"/>
    <w:rsid w:val="00EC4FF5"/>
    <w:rsid w:val="00ED09B5"/>
    <w:rsid w:val="00ED12F6"/>
    <w:rsid w:val="00ED269B"/>
    <w:rsid w:val="00ED409C"/>
    <w:rsid w:val="00ED4850"/>
    <w:rsid w:val="00ED4983"/>
    <w:rsid w:val="00EF2E1D"/>
    <w:rsid w:val="00EF6F4F"/>
    <w:rsid w:val="00F26C5D"/>
    <w:rsid w:val="00F37DE4"/>
    <w:rsid w:val="00F42279"/>
    <w:rsid w:val="00F45CA9"/>
    <w:rsid w:val="00F46FFC"/>
    <w:rsid w:val="00F47858"/>
    <w:rsid w:val="00F50E8B"/>
    <w:rsid w:val="00F60E04"/>
    <w:rsid w:val="00F647B3"/>
    <w:rsid w:val="00F662BC"/>
    <w:rsid w:val="00F82377"/>
    <w:rsid w:val="00FB7D84"/>
    <w:rsid w:val="00FD0451"/>
    <w:rsid w:val="00FD537B"/>
    <w:rsid w:val="00FD718C"/>
    <w:rsid w:val="00FE1E66"/>
    <w:rsid w:val="00FE26DD"/>
    <w:rsid w:val="00FF5541"/>
    <w:rsid w:val="00FF6B42"/>
    <w:rsid w:val="42CC5D7B"/>
    <w:rsid w:val="4C2F63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qFormat="1" w:uiPriority="0" w:semiHidden="0" w:name="Body Text Indent 3"/>
    <w:lsdException w:uiPriority="99"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0"/>
    <w:pPr>
      <w:keepNext/>
      <w:keepLines/>
      <w:widowControl/>
      <w:spacing w:before="340" w:after="330" w:line="578" w:lineRule="auto"/>
      <w:jc w:val="left"/>
      <w:outlineLvl w:val="0"/>
    </w:pPr>
    <w:rPr>
      <w:rFonts w:ascii="宋体" w:hAnsi="宋体" w:eastAsia="黑体" w:cs="宋体"/>
      <w:b/>
      <w:bCs/>
      <w:kern w:val="44"/>
      <w:sz w:val="48"/>
      <w:szCs w:val="44"/>
    </w:rPr>
  </w:style>
  <w:style w:type="paragraph" w:styleId="3">
    <w:name w:val="heading 2"/>
    <w:basedOn w:val="1"/>
    <w:next w:val="1"/>
    <w:link w:val="33"/>
    <w:qFormat/>
    <w:uiPriority w:val="0"/>
    <w:pPr>
      <w:widowControl/>
      <w:jc w:val="left"/>
      <w:outlineLvl w:val="1"/>
    </w:pPr>
    <w:rPr>
      <w:rFonts w:ascii="Cambria" w:hAnsi="Cambria"/>
      <w:b/>
      <w:bCs/>
      <w:kern w:val="0"/>
      <w:sz w:val="28"/>
      <w:szCs w:val="32"/>
    </w:rPr>
  </w:style>
  <w:style w:type="paragraph" w:styleId="4">
    <w:name w:val="heading 3"/>
    <w:basedOn w:val="1"/>
    <w:next w:val="1"/>
    <w:link w:val="34"/>
    <w:qFormat/>
    <w:uiPriority w:val="0"/>
    <w:pPr>
      <w:widowControl/>
      <w:jc w:val="left"/>
      <w:outlineLvl w:val="2"/>
    </w:pPr>
    <w:rPr>
      <w:rFonts w:ascii="宋体" w:hAnsi="宋体" w:cs="宋体"/>
      <w:b/>
      <w:bCs/>
      <w:kern w:val="0"/>
      <w:sz w:val="28"/>
      <w:szCs w:val="32"/>
    </w:rPr>
  </w:style>
  <w:style w:type="character" w:default="1" w:styleId="19">
    <w:name w:val="Default Paragraph Font"/>
    <w:semiHidden/>
    <w:unhideWhenUsed/>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6"/>
    <w:semiHidden/>
    <w:uiPriority w:val="0"/>
  </w:style>
  <w:style w:type="paragraph" w:styleId="6">
    <w:name w:val="annotation text"/>
    <w:basedOn w:val="1"/>
    <w:link w:val="35"/>
    <w:semiHidden/>
    <w:uiPriority w:val="0"/>
    <w:pPr>
      <w:jc w:val="left"/>
    </w:pPr>
    <w:rPr>
      <w:rFonts w:cs="黑体"/>
    </w:rPr>
  </w:style>
  <w:style w:type="paragraph" w:styleId="7">
    <w:name w:val="caption"/>
    <w:basedOn w:val="1"/>
    <w:next w:val="1"/>
    <w:qFormat/>
    <w:uiPriority w:val="0"/>
    <w:rPr>
      <w:rFonts w:ascii="Cambria" w:hAnsi="Cambria" w:eastAsia="黑体" w:cs="黑体"/>
      <w:sz w:val="20"/>
      <w:szCs w:val="20"/>
    </w:rPr>
  </w:style>
  <w:style w:type="paragraph" w:styleId="8">
    <w:name w:val="List Bullet"/>
    <w:basedOn w:val="1"/>
    <w:qFormat/>
    <w:uiPriority w:val="0"/>
    <w:pPr>
      <w:numPr>
        <w:ilvl w:val="0"/>
        <w:numId w:val="1"/>
      </w:numPr>
      <w:ind w:hanging="200" w:hangingChars="200"/>
    </w:pPr>
  </w:style>
  <w:style w:type="paragraph" w:styleId="9">
    <w:name w:val="Document Map"/>
    <w:basedOn w:val="1"/>
    <w:link w:val="37"/>
    <w:qFormat/>
    <w:uiPriority w:val="0"/>
    <w:rPr>
      <w:rFonts w:ascii="宋体"/>
      <w:sz w:val="18"/>
      <w:szCs w:val="18"/>
    </w:rPr>
  </w:style>
  <w:style w:type="paragraph" w:styleId="10">
    <w:name w:val="Body Text"/>
    <w:basedOn w:val="1"/>
    <w:link w:val="38"/>
    <w:uiPriority w:val="0"/>
    <w:pPr>
      <w:jc w:val="left"/>
    </w:pPr>
    <w:rPr>
      <w:rFonts w:ascii="宋体"/>
      <w:szCs w:val="21"/>
    </w:rPr>
  </w:style>
  <w:style w:type="paragraph" w:styleId="11">
    <w:name w:val="Body Text Indent"/>
    <w:basedOn w:val="1"/>
    <w:link w:val="39"/>
    <w:qFormat/>
    <w:uiPriority w:val="0"/>
    <w:pPr>
      <w:spacing w:after="120"/>
      <w:ind w:left="420" w:leftChars="200"/>
    </w:pPr>
  </w:style>
  <w:style w:type="paragraph" w:styleId="12">
    <w:name w:val="Date"/>
    <w:basedOn w:val="1"/>
    <w:next w:val="1"/>
    <w:link w:val="28"/>
    <w:semiHidden/>
    <w:unhideWhenUsed/>
    <w:qFormat/>
    <w:uiPriority w:val="99"/>
    <w:pPr>
      <w:ind w:left="100" w:leftChars="2500"/>
    </w:pPr>
  </w:style>
  <w:style w:type="paragraph" w:styleId="13">
    <w:name w:val="Body Text Indent 2"/>
    <w:basedOn w:val="1"/>
    <w:link w:val="92"/>
    <w:semiHidden/>
    <w:unhideWhenUsed/>
    <w:qFormat/>
    <w:uiPriority w:val="99"/>
    <w:pPr>
      <w:spacing w:after="120" w:line="480" w:lineRule="auto"/>
      <w:ind w:left="420" w:leftChars="200"/>
    </w:pPr>
  </w:style>
  <w:style w:type="paragraph" w:styleId="14">
    <w:name w:val="Balloon Text"/>
    <w:basedOn w:val="1"/>
    <w:link w:val="30"/>
    <w:semiHidden/>
    <w:unhideWhenUsed/>
    <w:qFormat/>
    <w:uiPriority w:val="0"/>
    <w:rPr>
      <w:sz w:val="18"/>
      <w:szCs w:val="18"/>
    </w:rPr>
  </w:style>
  <w:style w:type="paragraph" w:styleId="15">
    <w:name w:val="footer"/>
    <w:basedOn w:val="1"/>
    <w:link w:val="2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2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Body Text Indent 3"/>
    <w:basedOn w:val="1"/>
    <w:link w:val="31"/>
    <w:unhideWhenUsed/>
    <w:qFormat/>
    <w:uiPriority w:val="0"/>
    <w:pPr>
      <w:spacing w:after="120"/>
      <w:ind w:left="420" w:leftChars="200"/>
    </w:pPr>
    <w:rPr>
      <w:sz w:val="16"/>
      <w:szCs w:val="16"/>
    </w:rPr>
  </w:style>
  <w:style w:type="paragraph" w:styleId="1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20">
    <w:name w:val="page number"/>
    <w:qFormat/>
    <w:uiPriority w:val="0"/>
    <w:rPr>
      <w:rFonts w:cs="Times New Roman"/>
    </w:rPr>
  </w:style>
  <w:style w:type="character" w:styleId="21">
    <w:name w:val="FollowedHyperlink"/>
    <w:uiPriority w:val="0"/>
    <w:rPr>
      <w:color w:val="800080"/>
      <w:u w:val="single"/>
    </w:rPr>
  </w:style>
  <w:style w:type="character" w:styleId="22">
    <w:name w:val="Hyperlink"/>
    <w:qFormat/>
    <w:uiPriority w:val="0"/>
    <w:rPr>
      <w:rFonts w:cs="Times New Roman"/>
      <w:color w:val="0000FF"/>
      <w:u w:val="single"/>
    </w:rPr>
  </w:style>
  <w:style w:type="character" w:styleId="23">
    <w:name w:val="annotation reference"/>
    <w:semiHidden/>
    <w:uiPriority w:val="0"/>
    <w:rPr>
      <w:sz w:val="21"/>
      <w:szCs w:val="21"/>
    </w:rPr>
  </w:style>
  <w:style w:type="table" w:styleId="25">
    <w:name w:val="Table Grid"/>
    <w:basedOn w:val="2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6">
    <w:name w:val="页眉 Char"/>
    <w:basedOn w:val="19"/>
    <w:link w:val="16"/>
    <w:qFormat/>
    <w:uiPriority w:val="0"/>
    <w:rPr>
      <w:sz w:val="18"/>
      <w:szCs w:val="18"/>
    </w:rPr>
  </w:style>
  <w:style w:type="character" w:customStyle="1" w:styleId="27">
    <w:name w:val="页脚 Char"/>
    <w:basedOn w:val="19"/>
    <w:link w:val="15"/>
    <w:uiPriority w:val="0"/>
    <w:rPr>
      <w:sz w:val="18"/>
      <w:szCs w:val="18"/>
    </w:rPr>
  </w:style>
  <w:style w:type="character" w:customStyle="1" w:styleId="28">
    <w:name w:val="日期 Char"/>
    <w:basedOn w:val="19"/>
    <w:link w:val="12"/>
    <w:semiHidden/>
    <w:qFormat/>
    <w:uiPriority w:val="99"/>
    <w:rPr>
      <w:rFonts w:ascii="Times New Roman" w:hAnsi="Times New Roman" w:eastAsia="宋体" w:cs="Times New Roman"/>
      <w:szCs w:val="24"/>
    </w:rPr>
  </w:style>
  <w:style w:type="paragraph" w:styleId="29">
    <w:name w:val="List Paragraph"/>
    <w:basedOn w:val="1"/>
    <w:qFormat/>
    <w:uiPriority w:val="34"/>
    <w:pPr>
      <w:ind w:firstLine="420" w:firstLineChars="200"/>
    </w:pPr>
  </w:style>
  <w:style w:type="character" w:customStyle="1" w:styleId="30">
    <w:name w:val="批注框文本 Char"/>
    <w:basedOn w:val="19"/>
    <w:link w:val="14"/>
    <w:semiHidden/>
    <w:qFormat/>
    <w:uiPriority w:val="0"/>
    <w:rPr>
      <w:rFonts w:ascii="Times New Roman" w:hAnsi="Times New Roman" w:eastAsia="宋体" w:cs="Times New Roman"/>
      <w:sz w:val="18"/>
      <w:szCs w:val="18"/>
    </w:rPr>
  </w:style>
  <w:style w:type="character" w:customStyle="1" w:styleId="31">
    <w:name w:val="正文文本缩进 3 Char"/>
    <w:basedOn w:val="19"/>
    <w:link w:val="17"/>
    <w:uiPriority w:val="0"/>
    <w:rPr>
      <w:rFonts w:ascii="Times New Roman" w:hAnsi="Times New Roman" w:eastAsia="宋体" w:cs="Times New Roman"/>
      <w:sz w:val="16"/>
      <w:szCs w:val="16"/>
    </w:rPr>
  </w:style>
  <w:style w:type="character" w:customStyle="1" w:styleId="32">
    <w:name w:val="标题 1 Char"/>
    <w:basedOn w:val="19"/>
    <w:link w:val="2"/>
    <w:qFormat/>
    <w:uiPriority w:val="0"/>
    <w:rPr>
      <w:rFonts w:ascii="宋体" w:hAnsi="宋体" w:eastAsia="黑体" w:cs="宋体"/>
      <w:b/>
      <w:bCs/>
      <w:kern w:val="44"/>
      <w:sz w:val="48"/>
      <w:szCs w:val="44"/>
    </w:rPr>
  </w:style>
  <w:style w:type="character" w:customStyle="1" w:styleId="33">
    <w:name w:val="标题 2 Char"/>
    <w:basedOn w:val="19"/>
    <w:link w:val="3"/>
    <w:qFormat/>
    <w:uiPriority w:val="0"/>
    <w:rPr>
      <w:rFonts w:ascii="Cambria" w:hAnsi="Cambria" w:eastAsia="宋体" w:cs="Times New Roman"/>
      <w:b/>
      <w:bCs/>
      <w:kern w:val="0"/>
      <w:sz w:val="28"/>
      <w:szCs w:val="32"/>
    </w:rPr>
  </w:style>
  <w:style w:type="character" w:customStyle="1" w:styleId="34">
    <w:name w:val="标题 3 Char"/>
    <w:basedOn w:val="19"/>
    <w:link w:val="4"/>
    <w:uiPriority w:val="0"/>
    <w:rPr>
      <w:rFonts w:ascii="宋体" w:hAnsi="宋体" w:eastAsia="宋体" w:cs="宋体"/>
      <w:b/>
      <w:bCs/>
      <w:kern w:val="0"/>
      <w:sz w:val="28"/>
      <w:szCs w:val="32"/>
    </w:rPr>
  </w:style>
  <w:style w:type="character" w:customStyle="1" w:styleId="35">
    <w:name w:val="批注文字 Char"/>
    <w:basedOn w:val="19"/>
    <w:link w:val="6"/>
    <w:semiHidden/>
    <w:uiPriority w:val="0"/>
    <w:rPr>
      <w:rFonts w:ascii="Times New Roman" w:hAnsi="Times New Roman" w:eastAsia="宋体" w:cs="黑体"/>
      <w:szCs w:val="24"/>
    </w:rPr>
  </w:style>
  <w:style w:type="character" w:customStyle="1" w:styleId="36">
    <w:name w:val="批注主题 Char"/>
    <w:basedOn w:val="35"/>
    <w:link w:val="5"/>
    <w:semiHidden/>
    <w:uiPriority w:val="0"/>
    <w:rPr>
      <w:rFonts w:ascii="Times New Roman" w:hAnsi="Times New Roman" w:eastAsia="宋体" w:cs="黑体"/>
      <w:szCs w:val="24"/>
    </w:rPr>
  </w:style>
  <w:style w:type="character" w:customStyle="1" w:styleId="37">
    <w:name w:val="文档结构图 Char"/>
    <w:basedOn w:val="19"/>
    <w:link w:val="9"/>
    <w:qFormat/>
    <w:uiPriority w:val="0"/>
    <w:rPr>
      <w:rFonts w:ascii="宋体" w:hAnsi="Times New Roman" w:eastAsia="宋体" w:cs="Times New Roman"/>
      <w:sz w:val="18"/>
      <w:szCs w:val="18"/>
    </w:rPr>
  </w:style>
  <w:style w:type="character" w:customStyle="1" w:styleId="38">
    <w:name w:val="正文文本 Char"/>
    <w:basedOn w:val="19"/>
    <w:link w:val="10"/>
    <w:qFormat/>
    <w:uiPriority w:val="0"/>
    <w:rPr>
      <w:rFonts w:ascii="宋体" w:hAnsi="Times New Roman" w:eastAsia="宋体" w:cs="Times New Roman"/>
      <w:szCs w:val="21"/>
    </w:rPr>
  </w:style>
  <w:style w:type="character" w:customStyle="1" w:styleId="39">
    <w:name w:val="正文文本缩进 Char"/>
    <w:basedOn w:val="19"/>
    <w:link w:val="11"/>
    <w:uiPriority w:val="0"/>
    <w:rPr>
      <w:rFonts w:ascii="Times New Roman" w:hAnsi="Times New Roman" w:eastAsia="宋体" w:cs="Times New Roman"/>
      <w:szCs w:val="24"/>
    </w:rPr>
  </w:style>
  <w:style w:type="paragraph" w:customStyle="1" w:styleId="40">
    <w:name w:val="No Spacing1"/>
    <w:link w:val="87"/>
    <w:uiPriority w:val="0"/>
    <w:rPr>
      <w:rFonts w:ascii="Calibri" w:hAnsi="Calibri" w:eastAsia="宋体" w:cs="黑体"/>
      <w:kern w:val="0"/>
      <w:sz w:val="22"/>
      <w:szCs w:val="22"/>
      <w:lang w:val="en-US" w:eastAsia="zh-CN" w:bidi="ar-SA"/>
    </w:rPr>
  </w:style>
  <w:style w:type="paragraph" w:customStyle="1" w:styleId="41">
    <w:name w:val="List Paragraph1"/>
    <w:basedOn w:val="1"/>
    <w:uiPriority w:val="0"/>
    <w:pPr>
      <w:ind w:firstLine="420" w:firstLineChars="200"/>
    </w:pPr>
    <w:rPr>
      <w:rFonts w:ascii="Calibri" w:hAnsi="Calibri" w:cs="黑体"/>
      <w:szCs w:val="22"/>
    </w:rPr>
  </w:style>
  <w:style w:type="paragraph" w:customStyle="1" w:styleId="42">
    <w:name w:val="Char"/>
    <w:basedOn w:val="1"/>
    <w:uiPriority w:val="0"/>
  </w:style>
  <w:style w:type="paragraph" w:customStyle="1" w:styleId="43">
    <w:name w:val="Revision1"/>
    <w:hidden/>
    <w:semiHidden/>
    <w:uiPriority w:val="0"/>
    <w:rPr>
      <w:rFonts w:ascii="Times New Roman" w:hAnsi="Times New Roman" w:eastAsia="宋体" w:cs="Times New Roman"/>
      <w:kern w:val="0"/>
      <w:sz w:val="20"/>
      <w:szCs w:val="24"/>
      <w:lang w:val="en-US" w:eastAsia="zh-CN" w:bidi="ar-SA"/>
    </w:rPr>
  </w:style>
  <w:style w:type="paragraph" w:customStyle="1" w:styleId="44">
    <w:name w:val="注解（小四，楷体）"/>
    <w:basedOn w:val="1"/>
    <w:link w:val="90"/>
    <w:uiPriority w:val="0"/>
    <w:pPr>
      <w:widowControl/>
      <w:contextualSpacing/>
      <w:jc w:val="left"/>
    </w:pPr>
    <w:rPr>
      <w:rFonts w:ascii="楷体" w:hAnsi="楷体" w:eastAsia="楷体"/>
      <w:kern w:val="0"/>
      <w:sz w:val="24"/>
    </w:rPr>
  </w:style>
  <w:style w:type="paragraph" w:customStyle="1" w:styleId="45">
    <w:name w:val="表格（小四，宋体）"/>
    <w:basedOn w:val="1"/>
    <w:link w:val="91"/>
    <w:uiPriority w:val="0"/>
    <w:pPr>
      <w:widowControl/>
      <w:contextualSpacing/>
      <w:jc w:val="left"/>
    </w:pPr>
    <w:rPr>
      <w:rFonts w:ascii="宋体" w:hAnsi="宋体"/>
      <w:kern w:val="0"/>
      <w:sz w:val="24"/>
    </w:rPr>
  </w:style>
  <w:style w:type="paragraph" w:customStyle="1" w:styleId="46">
    <w:name w:val="TOC Heading1"/>
    <w:basedOn w:val="2"/>
    <w:next w:val="1"/>
    <w:uiPriority w:val="0"/>
    <w:pPr>
      <w:spacing w:before="480" w:after="0" w:line="276" w:lineRule="auto"/>
      <w:outlineLvl w:val="9"/>
    </w:pPr>
    <w:rPr>
      <w:rFonts w:ascii="Cambria" w:hAnsi="Cambria" w:eastAsia="宋体" w:cs="Times New Roman"/>
      <w:color w:val="365F91"/>
      <w:kern w:val="0"/>
      <w:sz w:val="28"/>
      <w:szCs w:val="28"/>
    </w:rPr>
  </w:style>
  <w:style w:type="paragraph" w:customStyle="1" w:styleId="47">
    <w:name w:val="font5"/>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48">
    <w:name w:val="font6"/>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49">
    <w:name w:val="font7"/>
    <w:basedOn w:val="1"/>
    <w:uiPriority w:val="0"/>
    <w:pPr>
      <w:widowControl/>
      <w:spacing w:before="100" w:beforeAutospacing="1" w:after="100" w:afterAutospacing="1"/>
      <w:jc w:val="left"/>
    </w:pPr>
    <w:rPr>
      <w:rFonts w:ascii="宋体" w:hAnsi="宋体" w:cs="宋体"/>
      <w:color w:val="000000"/>
      <w:kern w:val="0"/>
      <w:sz w:val="24"/>
    </w:rPr>
  </w:style>
  <w:style w:type="paragraph" w:customStyle="1" w:styleId="50">
    <w:name w:val="xl65"/>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51">
    <w:name w:val="xl66"/>
    <w:basedOn w:val="1"/>
    <w:uiPriority w:val="0"/>
    <w:pPr>
      <w:widowControl/>
      <w:spacing w:before="100" w:beforeAutospacing="1" w:after="100" w:afterAutospacing="1"/>
      <w:jc w:val="center"/>
      <w:textAlignment w:val="bottom"/>
    </w:pPr>
    <w:rPr>
      <w:rFonts w:ascii="宋体" w:hAnsi="宋体" w:cs="宋体"/>
      <w:color w:val="000000"/>
      <w:kern w:val="0"/>
      <w:sz w:val="22"/>
      <w:szCs w:val="22"/>
    </w:rPr>
  </w:style>
  <w:style w:type="paragraph" w:customStyle="1" w:styleId="52">
    <w:name w:val="xl67"/>
    <w:basedOn w:val="1"/>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53">
    <w:name w:val="xl68"/>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54">
    <w:name w:val="xl69"/>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55">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7">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8">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4"/>
      <w:u w:val="single"/>
    </w:rPr>
  </w:style>
  <w:style w:type="paragraph" w:customStyle="1" w:styleId="59">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800080"/>
      <w:kern w:val="0"/>
      <w:sz w:val="24"/>
      <w:u w:val="single"/>
    </w:rPr>
  </w:style>
  <w:style w:type="paragraph" w:customStyle="1" w:styleId="60">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1">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4"/>
      <w:u w:val="single"/>
    </w:rPr>
  </w:style>
  <w:style w:type="paragraph" w:customStyle="1" w:styleId="64">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5">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66">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6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4"/>
      <w:u w:val="single"/>
    </w:rPr>
  </w:style>
  <w:style w:type="paragraph" w:customStyle="1" w:styleId="68">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6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2"/>
      <w:szCs w:val="22"/>
      <w:u w:val="single"/>
    </w:rPr>
  </w:style>
  <w:style w:type="paragraph" w:customStyle="1" w:styleId="7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2"/>
      <w:szCs w:val="22"/>
    </w:rPr>
  </w:style>
  <w:style w:type="paragraph" w:customStyle="1" w:styleId="7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7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2"/>
      <w:szCs w:val="22"/>
      <w:u w:val="single"/>
    </w:rPr>
  </w:style>
  <w:style w:type="paragraph" w:customStyle="1" w:styleId="73">
    <w:name w:val="xl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2"/>
      <w:szCs w:val="22"/>
    </w:rPr>
  </w:style>
  <w:style w:type="paragraph" w:customStyle="1" w:styleId="74">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cs="Calibri"/>
      <w:kern w:val="0"/>
      <w:szCs w:val="21"/>
    </w:rPr>
  </w:style>
  <w:style w:type="paragraph" w:customStyle="1" w:styleId="76">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2"/>
      <w:szCs w:val="22"/>
      <w:u w:val="single"/>
    </w:rPr>
  </w:style>
  <w:style w:type="paragraph" w:customStyle="1" w:styleId="77">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color w:val="000000"/>
      <w:kern w:val="0"/>
      <w:sz w:val="32"/>
      <w:szCs w:val="32"/>
    </w:rPr>
  </w:style>
  <w:style w:type="paragraph" w:customStyle="1" w:styleId="7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2"/>
      <w:szCs w:val="22"/>
    </w:rPr>
  </w:style>
  <w:style w:type="paragraph" w:customStyle="1" w:styleId="79">
    <w:name w:val="xl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2"/>
      <w:szCs w:val="22"/>
    </w:rPr>
  </w:style>
  <w:style w:type="paragraph" w:customStyle="1" w:styleId="8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bCs/>
      <w:color w:val="000000"/>
      <w:kern w:val="0"/>
      <w:sz w:val="32"/>
      <w:szCs w:val="32"/>
    </w:rPr>
  </w:style>
  <w:style w:type="paragraph" w:customStyle="1" w:styleId="81">
    <w:name w:val="xl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4"/>
    </w:rPr>
  </w:style>
  <w:style w:type="paragraph" w:customStyle="1" w:styleId="8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4"/>
    </w:rPr>
  </w:style>
  <w:style w:type="paragraph" w:customStyle="1" w:styleId="8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84">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4"/>
      <w:u w:val="single"/>
    </w:rPr>
  </w:style>
  <w:style w:type="paragraph" w:customStyle="1" w:styleId="85">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rPr>
  </w:style>
  <w:style w:type="paragraph" w:customStyle="1" w:styleId="86">
    <w:name w:val="xl10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800080"/>
      <w:kern w:val="0"/>
      <w:sz w:val="24"/>
      <w:u w:val="single"/>
    </w:rPr>
  </w:style>
  <w:style w:type="character" w:customStyle="1" w:styleId="87">
    <w:name w:val="无间隔 Char"/>
    <w:link w:val="40"/>
    <w:qFormat/>
    <w:locked/>
    <w:uiPriority w:val="0"/>
    <w:rPr>
      <w:rFonts w:ascii="Calibri" w:hAnsi="Calibri" w:eastAsia="宋体" w:cs="黑体"/>
      <w:kern w:val="0"/>
      <w:sz w:val="22"/>
    </w:rPr>
  </w:style>
  <w:style w:type="character" w:customStyle="1" w:styleId="88">
    <w:name w:val="批注文字 Char1"/>
    <w:semiHidden/>
    <w:qFormat/>
    <w:locked/>
    <w:uiPriority w:val="0"/>
    <w:rPr>
      <w:rFonts w:cs="Times New Roman"/>
    </w:rPr>
  </w:style>
  <w:style w:type="character" w:customStyle="1" w:styleId="89">
    <w:name w:val="批注主题 Char1"/>
    <w:semiHidden/>
    <w:locked/>
    <w:uiPriority w:val="0"/>
    <w:rPr>
      <w:rFonts w:cs="Times New Roman"/>
      <w:b/>
      <w:bCs/>
    </w:rPr>
  </w:style>
  <w:style w:type="character" w:customStyle="1" w:styleId="90">
    <w:name w:val="注解（小四，楷体） Char"/>
    <w:link w:val="44"/>
    <w:qFormat/>
    <w:locked/>
    <w:uiPriority w:val="0"/>
    <w:rPr>
      <w:rFonts w:ascii="楷体" w:hAnsi="楷体" w:eastAsia="楷体" w:cs="Times New Roman"/>
      <w:kern w:val="0"/>
      <w:sz w:val="24"/>
      <w:szCs w:val="24"/>
    </w:rPr>
  </w:style>
  <w:style w:type="character" w:customStyle="1" w:styleId="91">
    <w:name w:val="表格（小四，宋体） Char"/>
    <w:link w:val="45"/>
    <w:qFormat/>
    <w:locked/>
    <w:uiPriority w:val="0"/>
    <w:rPr>
      <w:rFonts w:ascii="宋体" w:hAnsi="宋体" w:eastAsia="宋体" w:cs="Times New Roman"/>
      <w:kern w:val="0"/>
      <w:sz w:val="24"/>
      <w:szCs w:val="24"/>
    </w:rPr>
  </w:style>
  <w:style w:type="character" w:customStyle="1" w:styleId="92">
    <w:name w:val="正文文本缩进 2 Char"/>
    <w:basedOn w:val="19"/>
    <w:link w:val="13"/>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7413BD-E06D-4023-9EDB-D4F084BC573D}">
  <ds:schemaRefs/>
</ds:datastoreItem>
</file>

<file path=docProps/app.xml><?xml version="1.0" encoding="utf-8"?>
<Properties xmlns="http://schemas.openxmlformats.org/officeDocument/2006/extended-properties" xmlns:vt="http://schemas.openxmlformats.org/officeDocument/2006/docPropsVTypes">
  <Template>Normal</Template>
  <Company>中国平安保险(集团)股份有限公司</Company>
  <Pages>10</Pages>
  <Words>559</Words>
  <Characters>3189</Characters>
  <Lines>26</Lines>
  <Paragraphs>7</Paragraphs>
  <ScaleCrop>false</ScaleCrop>
  <LinksUpToDate>false</LinksUpToDate>
  <CharactersWithSpaces>3741</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2013-10-31T01:22:00Z</dcterms:created>
  <dc:creator>localadmin</dc:creator>
  <cp:lastModifiedBy>Administrator</cp:lastModifiedBy>
  <cp:lastPrinted>2018-03-29T02:18:10Z</cp:lastPrinted>
  <dcterms:modified xsi:type="dcterms:W3CDTF">2018-03-29T02:19:15Z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